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65AA160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100</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624FB5">
        <w:rPr>
          <w:b/>
          <w:noProof/>
          <w:sz w:val="24"/>
        </w:rPr>
        <w:t>12577</w:t>
      </w:r>
    </w:p>
    <w:p w14:paraId="63C63B34" w14:textId="660D5C80"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6937EE" w:rsidRPr="00B23518">
        <w:rPr>
          <w:rFonts w:eastAsia="宋体" w:cs="Arial"/>
          <w:b/>
          <w:sz w:val="24"/>
          <w:szCs w:val="24"/>
          <w:lang w:eastAsia="zh-CN"/>
        </w:rPr>
        <w:t>August 16-27</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7CBFD1C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B87230">
        <w:rPr>
          <w:rFonts w:ascii="Arial" w:hAnsi="Arial" w:cs="Arial" w:hint="eastAsia"/>
          <w:b/>
          <w:lang w:eastAsia="zh-CN"/>
        </w:rPr>
        <w:t>FR</w:t>
      </w:r>
      <w:r w:rsidR="00B87230">
        <w:rPr>
          <w:rFonts w:ascii="Arial" w:hAnsi="Arial" w:cs="Arial"/>
          <w:b/>
          <w:lang w:eastAsia="zh-CN"/>
        </w:rPr>
        <w:t xml:space="preserve">2 </w:t>
      </w:r>
      <w:r w:rsidR="004A71C9">
        <w:rPr>
          <w:rFonts w:ascii="Arial" w:hAnsi="Arial" w:cs="Arial" w:hint="eastAsia"/>
          <w:b/>
          <w:lang w:eastAsia="zh-CN"/>
        </w:rPr>
        <w:t>test</w:t>
      </w:r>
      <w:r w:rsidR="004A71C9">
        <w:rPr>
          <w:rFonts w:ascii="Arial" w:hAnsi="Arial" w:cs="Arial"/>
          <w:b/>
          <w:lang w:eastAsia="zh-CN"/>
        </w:rPr>
        <w:t xml:space="preserve"> time reduction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955E15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749F9">
        <w:rPr>
          <w:rFonts w:ascii="Arial" w:hAnsi="Arial" w:cs="Arial"/>
          <w:b/>
        </w:rPr>
        <w:t>10</w:t>
      </w:r>
      <w:r w:rsidR="00695FED">
        <w:rPr>
          <w:rFonts w:ascii="Arial" w:hAnsi="Arial" w:cs="Arial"/>
          <w:b/>
        </w:rPr>
        <w:t>.1.</w:t>
      </w:r>
      <w:r w:rsidR="00411C36">
        <w:rPr>
          <w:rFonts w:ascii="Arial" w:hAnsi="Arial" w:cs="Arial"/>
          <w:b/>
        </w:rPr>
        <w:t>4</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6DA2CEA1" w14:textId="7A4A8568" w:rsidR="00364FBE" w:rsidRDefault="000028E6" w:rsidP="00364FBE">
      <w:pPr>
        <w:pStyle w:val="af4"/>
        <w:rPr>
          <w:lang w:eastAsia="zh-CN"/>
        </w:rPr>
      </w:pPr>
      <w:r>
        <w:rPr>
          <w:lang w:eastAsia="zh-CN"/>
        </w:rPr>
        <w:t xml:space="preserve">Great progress has been achieved on test time reduction. TPs were approved in RAN4#99e meeting, and TR38.884 v1.0.0 </w:t>
      </w:r>
      <w:r w:rsidR="002A4BD5">
        <w:rPr>
          <w:lang w:eastAsia="zh-CN"/>
        </w:rPr>
        <w:t xml:space="preserve">[1] </w:t>
      </w:r>
      <w:r>
        <w:rPr>
          <w:lang w:eastAsia="zh-CN"/>
        </w:rPr>
        <w:t xml:space="preserve">capturing those TPs have been </w:t>
      </w:r>
      <w:r w:rsidR="002A3C96">
        <w:rPr>
          <w:lang w:eastAsia="zh-CN"/>
        </w:rPr>
        <w:t>available for RAN information</w:t>
      </w:r>
      <w:r>
        <w:rPr>
          <w:lang w:eastAsia="zh-CN"/>
        </w:rPr>
        <w:t xml:space="preserve"> in RAN#92e plenary meeting. For present four test time reduction methods, the new measurement grid method and the single link polarization measurement method are stable, some maintenance is expected for RSRP(B) based RX beam peak search method and for fast spherical coverage method respectively.</w:t>
      </w:r>
    </w:p>
    <w:p w14:paraId="692C610E" w14:textId="44A54650" w:rsidR="00CE4901" w:rsidRDefault="000028E6" w:rsidP="000028E6">
      <w:pPr>
        <w:pStyle w:val="af4"/>
        <w:ind w:leftChars="100" w:left="200"/>
        <w:rPr>
          <w:lang w:eastAsia="zh-CN"/>
        </w:rPr>
      </w:pPr>
      <w:r>
        <w:rPr>
          <w:lang w:eastAsia="zh-CN"/>
        </w:rPr>
        <w:t>For RSRP(B) based RX beam peak search method</w:t>
      </w:r>
      <w:r w:rsidR="00CE4901">
        <w:rPr>
          <w:lang w:eastAsia="zh-CN"/>
        </w:rPr>
        <w:t>:</w:t>
      </w:r>
    </w:p>
    <w:p w14:paraId="2F0DF65D" w14:textId="00ADE534" w:rsidR="00CE4901" w:rsidRPr="000028E6" w:rsidRDefault="000028E6" w:rsidP="000028E6">
      <w:pPr>
        <w:pStyle w:val="af4"/>
        <w:numPr>
          <w:ilvl w:val="0"/>
          <w:numId w:val="48"/>
        </w:numPr>
        <w:ind w:leftChars="100" w:left="560"/>
        <w:rPr>
          <w:lang w:val="en-GB" w:eastAsia="zh-CN"/>
        </w:rPr>
      </w:pPr>
      <w:r>
        <w:t>FFS how to select RSRP-based or RSRPB-based test procedure. FFS whether all the FR2 UEs support RSRPB.</w:t>
      </w:r>
    </w:p>
    <w:p w14:paraId="2A3EA660" w14:textId="0FD834E1" w:rsidR="000028E6" w:rsidRPr="00CE4901" w:rsidRDefault="000028E6" w:rsidP="000028E6">
      <w:pPr>
        <w:pStyle w:val="af4"/>
        <w:ind w:leftChars="100" w:left="200"/>
        <w:rPr>
          <w:lang w:val="en-GB" w:eastAsia="zh-CN"/>
        </w:rPr>
      </w:pPr>
      <w:r>
        <w:rPr>
          <w:rFonts w:hint="eastAsia"/>
          <w:lang w:val="en-GB" w:eastAsia="zh-CN"/>
        </w:rPr>
        <w:t>F</w:t>
      </w:r>
      <w:r>
        <w:rPr>
          <w:lang w:val="en-GB" w:eastAsia="zh-CN"/>
        </w:rPr>
        <w:t>or Fast spherical coverage method:</w:t>
      </w:r>
    </w:p>
    <w:p w14:paraId="562DB482" w14:textId="18CA081F" w:rsidR="00CE4901" w:rsidRPr="00CE4901" w:rsidRDefault="000028E6" w:rsidP="000028E6">
      <w:pPr>
        <w:pStyle w:val="af4"/>
        <w:numPr>
          <w:ilvl w:val="0"/>
          <w:numId w:val="48"/>
        </w:numPr>
        <w:ind w:leftChars="100" w:left="560"/>
        <w:rPr>
          <w:lang w:val="en-GB" w:eastAsia="zh-CN"/>
        </w:rPr>
      </w:pPr>
      <w:r>
        <w:t>This method is applicable to Constant Density grid type. The applicability to Constant Step is FFS.</w:t>
      </w:r>
    </w:p>
    <w:p w14:paraId="0723CC00" w14:textId="5540ECA9" w:rsidR="00FB2CAD" w:rsidRPr="00916F8E" w:rsidRDefault="00E52307" w:rsidP="00E52307">
      <w:pPr>
        <w:pStyle w:val="af4"/>
        <w:rPr>
          <w:lang w:eastAsia="zh-CN"/>
        </w:rPr>
      </w:pPr>
      <w:r>
        <w:rPr>
          <w:rFonts w:hint="eastAsia"/>
          <w:lang w:eastAsia="zh-CN"/>
        </w:rPr>
        <w:t>I</w:t>
      </w:r>
      <w:r>
        <w:rPr>
          <w:lang w:eastAsia="zh-CN"/>
        </w:rPr>
        <w:t xml:space="preserve">n this contribution, we </w:t>
      </w:r>
      <w:r w:rsidR="005E6091">
        <w:rPr>
          <w:lang w:eastAsia="zh-CN"/>
        </w:rPr>
        <w:t xml:space="preserve">further discuss </w:t>
      </w:r>
      <w:r w:rsidR="00DF2F70">
        <w:rPr>
          <w:lang w:eastAsia="zh-CN"/>
        </w:rPr>
        <w:t>above open issues and our view is presented</w:t>
      </w:r>
      <w:r w:rsidR="002E20F7">
        <w:rPr>
          <w:lang w:eastAsia="zh-CN"/>
        </w:rPr>
        <w:t>.</w:t>
      </w:r>
    </w:p>
    <w:p w14:paraId="65A85401" w14:textId="697A8A6E" w:rsidR="00962566" w:rsidRDefault="000A567D" w:rsidP="00E33B8C">
      <w:pPr>
        <w:pStyle w:val="1"/>
      </w:pPr>
      <w:r>
        <w:t xml:space="preserve">2. </w:t>
      </w:r>
      <w:r>
        <w:tab/>
      </w:r>
      <w:r w:rsidR="002A1C01">
        <w:t>Discussion</w:t>
      </w:r>
    </w:p>
    <w:p w14:paraId="32C553EE" w14:textId="0CF081B3" w:rsidR="001F7D2F" w:rsidRPr="007C4CA8" w:rsidRDefault="001F7D2F" w:rsidP="001F7D2F">
      <w:pPr>
        <w:pStyle w:val="2"/>
      </w:pPr>
      <w:r>
        <w:t>2.1</w:t>
      </w:r>
      <w:r>
        <w:tab/>
      </w:r>
      <w:r w:rsidR="000028E6" w:rsidRPr="000028E6">
        <w:rPr>
          <w:lang w:eastAsia="zh-CN"/>
        </w:rPr>
        <w:t>RSRP(B) based RX beam peak search method</w:t>
      </w:r>
    </w:p>
    <w:p w14:paraId="2BE3F4C1" w14:textId="01DCE7A0" w:rsidR="00CF72F6" w:rsidRDefault="00CF72F6" w:rsidP="00CF72F6">
      <w:pPr>
        <w:pStyle w:val="af4"/>
        <w:rPr>
          <w:lang w:val="en-GB" w:eastAsia="zh-CN"/>
        </w:rPr>
      </w:pPr>
      <w:r w:rsidRPr="00CF72F6">
        <w:rPr>
          <w:noProof/>
          <w:lang w:eastAsia="zh-CN"/>
        </w:rPr>
        <mc:AlternateContent>
          <mc:Choice Requires="wps">
            <w:drawing>
              <wp:anchor distT="0" distB="0" distL="114300" distR="114300" simplePos="0" relativeHeight="251659264" behindDoc="0" locked="0" layoutInCell="1" allowOverlap="1" wp14:anchorId="62141D54" wp14:editId="3769363A">
                <wp:simplePos x="0" y="0"/>
                <wp:positionH relativeFrom="column">
                  <wp:posOffset>13952220</wp:posOffset>
                </wp:positionH>
                <wp:positionV relativeFrom="paragraph">
                  <wp:posOffset>2285365</wp:posOffset>
                </wp:positionV>
                <wp:extent cx="153670" cy="243205"/>
                <wp:effectExtent l="0" t="0" r="0" b="0"/>
                <wp:wrapNone/>
                <wp:docPr id="4"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type w14:anchorId="7A4A1E9A" id="_x0000_t202" coordsize="21600,21600" o:spt="202" path="m,l,21600r21600,l21600,xe">
                <v:stroke joinstyle="miter"/>
                <v:path gradientshapeok="t" o:connecttype="rect"/>
              </v:shapetype>
              <v:shape id="RS_Classification_Standard" o:spid="_x0000_s1026" type="#_x0000_t202" style="position:absolute;left:0;text-align:left;margin-left:1098.6pt;margin-top:179.95pt;width:12.1pt;height:19.15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" stroked="f">
                <v:fill opacity="0"/>
                <v:textbox style="mso-fit-shape-to-text:t" inset="6pt,2.9pt,6pt,2.9pt"/>
              </v:shape>
            </w:pict>
          </mc:Fallback>
        </mc:AlternateContent>
      </w:r>
      <w:r w:rsidR="00B004BA">
        <w:rPr>
          <w:lang w:val="en-GB" w:eastAsia="zh-CN"/>
        </w:rPr>
        <w:t>For RX beam peak search, there is no much difference between RSRP based and RSRPB based.</w:t>
      </w:r>
      <w:r w:rsidR="000403A1">
        <w:rPr>
          <w:lang w:val="en-GB" w:eastAsia="zh-CN"/>
        </w:rPr>
        <w:t xml:space="preserve"> Since RSRPB is already adopted in FR2 demodulation test, it is natural</w:t>
      </w:r>
      <w:r w:rsidR="005F452F">
        <w:rPr>
          <w:lang w:val="en-GB" w:eastAsia="zh-CN"/>
        </w:rPr>
        <w:t xml:space="preserve"> and feasible</w:t>
      </w:r>
      <w:r w:rsidR="000403A1">
        <w:rPr>
          <w:lang w:val="en-GB" w:eastAsia="zh-CN"/>
        </w:rPr>
        <w:t xml:space="preserve"> to reuse it. Besides, RSRPB provides more information for trouble shooting.</w:t>
      </w:r>
    </w:p>
    <w:p w14:paraId="37D43596" w14:textId="5C195954" w:rsidR="00CF72F6" w:rsidRDefault="000403A1" w:rsidP="00CF72F6">
      <w:pPr>
        <w:pStyle w:val="af4"/>
        <w:rPr>
          <w:lang w:val="en-GB" w:eastAsia="zh-CN"/>
        </w:rPr>
      </w:pPr>
      <w:r>
        <w:rPr>
          <w:lang w:val="en-GB" w:eastAsia="zh-CN"/>
        </w:rPr>
        <w:t>One of the issues for RSRPB</w:t>
      </w:r>
      <w:r w:rsidR="005F452F">
        <w:rPr>
          <w:lang w:val="en-GB" w:eastAsia="zh-CN"/>
        </w:rPr>
        <w:t xml:space="preserve"> based RX beam peak search</w:t>
      </w:r>
      <w:r>
        <w:rPr>
          <w:lang w:val="en-GB" w:eastAsia="zh-CN"/>
        </w:rPr>
        <w:t xml:space="preserve"> is whether all FR2 UEs support RSRPB. According to TR38.810</w:t>
      </w:r>
      <w:r w:rsidR="002A4BD5">
        <w:rPr>
          <w:lang w:val="en-GB" w:eastAsia="zh-CN"/>
        </w:rPr>
        <w:t xml:space="preserve"> [2]</w:t>
      </w:r>
      <w:r>
        <w:rPr>
          <w:lang w:val="en-GB" w:eastAsia="zh-CN"/>
        </w:rPr>
        <w:t>, similar to UE beam lock function (UBF), RSRPB is also a test interface which shall be supported by all FR2 UEs:</w:t>
      </w:r>
    </w:p>
    <w:p w14:paraId="308ADEA4" w14:textId="77777777" w:rsidR="000403A1" w:rsidRDefault="000403A1" w:rsidP="000403A1">
      <w:pPr>
        <w:pStyle w:val="af4"/>
        <w:rPr>
          <w:lang w:val="en-GB" w:eastAsia="zh-CN"/>
        </w:rPr>
      </w:pPr>
      <w:r>
        <w:rPr>
          <w:noProof/>
          <w:lang w:eastAsia="zh-CN"/>
        </w:rPr>
        <mc:AlternateContent>
          <mc:Choice Requires="wps">
            <w:drawing>
              <wp:inline distT="0" distB="0" distL="0" distR="0" wp14:anchorId="48ACBA3E" wp14:editId="2571C9C5">
                <wp:extent cx="6116320" cy="1118847"/>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18847"/>
                        </a:xfrm>
                        <a:prstGeom prst="rect">
                          <a:avLst/>
                        </a:prstGeom>
                        <a:solidFill>
                          <a:srgbClr val="FFFFFF"/>
                        </a:solidFill>
                        <a:ln w="9525">
                          <a:solidFill>
                            <a:srgbClr val="000000"/>
                          </a:solidFill>
                          <a:miter lim="800000"/>
                          <a:headEnd/>
                          <a:tailEnd/>
                        </a:ln>
                      </wps:spPr>
                      <wps:txbx>
                        <w:txbxContent>
                          <w:p w14:paraId="0CE14AF8" w14:textId="77777777" w:rsidR="000403A1" w:rsidRPr="00684CEA" w:rsidRDefault="000403A1" w:rsidP="000403A1">
                            <w:r w:rsidRPr="00684CEA">
                              <w:t>A Test Interface (TI) is needed for certain control and measurement functions. Detailed functions and implementation of the TI are as follows:</w:t>
                            </w:r>
                          </w:p>
                          <w:p w14:paraId="3A05BD19" w14:textId="77777777" w:rsidR="000403A1" w:rsidRPr="00684CEA" w:rsidRDefault="000403A1" w:rsidP="000403A1">
                            <w:pPr>
                              <w:pStyle w:val="B1"/>
                            </w:pPr>
                            <w:r w:rsidRPr="00684CEA">
                              <w:t>-</w:t>
                            </w:r>
                            <w:r w:rsidRPr="00684CEA">
                              <w:tab/>
                            </w:r>
                            <w:r w:rsidRPr="000403A1">
                              <w:rPr>
                                <w:highlight w:val="yellow"/>
                              </w:rPr>
                              <w:t>All UEs supporting NR and operating in frequency range 2 (FR2) shall support the following:</w:t>
                            </w:r>
                          </w:p>
                          <w:p w14:paraId="093439FB" w14:textId="77777777" w:rsidR="000403A1" w:rsidRPr="00684CEA" w:rsidRDefault="000403A1" w:rsidP="000403A1">
                            <w:pPr>
                              <w:pStyle w:val="B2"/>
                            </w:pPr>
                            <w:r w:rsidRPr="00684CEA">
                              <w:t>-</w:t>
                            </w:r>
                            <w:r w:rsidRPr="00684CEA">
                              <w:tab/>
                              <w:t>A mandatory UE beam lock function (UBF) to simplify the test method complexity, such that</w:t>
                            </w:r>
                          </w:p>
                          <w:p w14:paraId="33A11A1E" w14:textId="77777777" w:rsidR="000403A1" w:rsidRPr="00684CEA" w:rsidRDefault="000403A1" w:rsidP="000403A1">
                            <w:pPr>
                              <w:pStyle w:val="B2"/>
                            </w:pPr>
                            <w:r w:rsidRPr="00684CEA">
                              <w:t>-</w:t>
                            </w:r>
                            <w:r w:rsidRPr="00684CEA">
                              <w:tab/>
                              <w:t>The UBF can disable changes to the UE beamforming configuration when in NR_RRC_CONNECTED state</w:t>
                            </w:r>
                          </w:p>
                          <w:p w14:paraId="4673B2C3" w14:textId="77777777" w:rsidR="000403A1" w:rsidRPr="00684CEA" w:rsidRDefault="000403A1" w:rsidP="000403A1">
                            <w:pPr>
                              <w:pStyle w:val="B2"/>
                            </w:pPr>
                            <w:r w:rsidRPr="00684CEA">
                              <w:t>-</w:t>
                            </w:r>
                            <w:r w:rsidRPr="00684CEA">
                              <w:tab/>
                            </w:r>
                            <w:r w:rsidRPr="000403A1">
                              <w:rPr>
                                <w:highlight w:val="yellow"/>
                              </w:rPr>
                              <w:t>The measurement and reporting of synchronization signals reference signal received power per branch (SS-RSRPB)</w:t>
                            </w:r>
                            <w:r w:rsidRPr="00684CEA">
                              <w:t xml:space="preserve"> [14], such that</w:t>
                            </w:r>
                          </w:p>
                          <w:p w14:paraId="5F9DAFB7" w14:textId="77777777" w:rsidR="000403A1" w:rsidRPr="00684CEA" w:rsidRDefault="000403A1" w:rsidP="000403A1">
                            <w:pPr>
                              <w:pStyle w:val="B3"/>
                            </w:pPr>
                            <w:r w:rsidRPr="00684CEA">
                              <w:t>-</w:t>
                            </w:r>
                            <w:r w:rsidRPr="00684CEA">
                              <w:tab/>
                              <w:t xml:space="preserve">These reporting requirements apply to </w:t>
                            </w:r>
                            <w:r w:rsidRPr="000403A1">
                              <w:rPr>
                                <w:highlight w:val="yellow"/>
                              </w:rPr>
                              <w:t>all FR2 UEs</w:t>
                            </w:r>
                            <w:r w:rsidRPr="00684CEA">
                              <w:t xml:space="preserve"> in the context of a test loop</w:t>
                            </w:r>
                          </w:p>
                          <w:p w14:paraId="3F6AE742" w14:textId="77777777" w:rsidR="000403A1" w:rsidRPr="00684CEA" w:rsidRDefault="000403A1" w:rsidP="000403A1">
                            <w:pPr>
                              <w:pStyle w:val="B3"/>
                            </w:pPr>
                            <w:r w:rsidRPr="00684CEA">
                              <w:t>-</w:t>
                            </w:r>
                            <w:r w:rsidRPr="00684CEA">
                              <w:tab/>
                              <w:t>The signalling associated with reporting SS-RSRPB is in a format which allows the UE to report a vector of values, where the number of the reported values equals to the number of receiver branches on the UE</w:t>
                            </w:r>
                          </w:p>
                          <w:p w14:paraId="2F757104" w14:textId="6081A7EB" w:rsidR="000403A1" w:rsidRPr="006328A5" w:rsidRDefault="000403A1" w:rsidP="000403A1">
                            <w:pPr>
                              <w:pStyle w:val="B1"/>
                              <w:rPr>
                                <w:lang w:val="en-US" w:eastAsia="en-GB"/>
                              </w:rPr>
                            </w:pPr>
                            <w:r w:rsidRPr="00684CEA">
                              <w:t>-</w:t>
                            </w:r>
                            <w:r w:rsidRPr="00684CEA">
                              <w:tab/>
                              <w:t>Additional TI functionality is not precluded</w:t>
                            </w:r>
                          </w:p>
                        </w:txbxContent>
                      </wps:txbx>
                      <wps:bodyPr rot="0" vert="horz" wrap="square" lIns="91440" tIns="45720" rIns="91440" bIns="45720" anchor="t" anchorCtr="0">
                        <a:spAutoFit/>
                      </wps:bodyPr>
                    </wps:wsp>
                  </a:graphicData>
                </a:graphic>
              </wp:inline>
            </w:drawing>
          </mc:Choice>
          <mc:Fallback>
            <w:pict>
              <v:shape w14:anchorId="48ACBA3E" id="Text Box 2" o:spid="_x0000_s1026" type="#_x0000_t202" style="width:481.6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">
                <v:textbox style="mso-fit-shape-to-text:t">
                  <w:txbxContent>
                    <w:p w14:paraId="0CE14AF8" w14:textId="77777777" w:rsidR="000403A1" w:rsidRPr="00684CEA" w:rsidRDefault="000403A1" w:rsidP="000403A1">
                      <w:r w:rsidRPr="00684CEA">
                        <w:t>A Test Interface (TI) is needed for certain control and measurement functions. Detailed functions and implementation of the TI are as follows:</w:t>
                      </w:r>
                    </w:p>
                    <w:p w14:paraId="3A05BD19" w14:textId="77777777" w:rsidR="000403A1" w:rsidRPr="00684CEA" w:rsidRDefault="000403A1" w:rsidP="000403A1">
                      <w:pPr>
                        <w:pStyle w:val="B1"/>
                      </w:pPr>
                      <w:r w:rsidRPr="00684CEA">
                        <w:t>-</w:t>
                      </w:r>
                      <w:r w:rsidRPr="00684CEA">
                        <w:tab/>
                      </w:r>
                      <w:r w:rsidRPr="000403A1">
                        <w:rPr>
                          <w:highlight w:val="yellow"/>
                        </w:rPr>
                        <w:t>All UEs supporting NR and operating in frequency range 2 (FR2) shall support the following:</w:t>
                      </w:r>
                    </w:p>
                    <w:p w14:paraId="093439FB" w14:textId="77777777" w:rsidR="000403A1" w:rsidRPr="00684CEA" w:rsidRDefault="000403A1" w:rsidP="000403A1">
                      <w:pPr>
                        <w:pStyle w:val="B2"/>
                      </w:pPr>
                      <w:r w:rsidRPr="00684CEA">
                        <w:t>-</w:t>
                      </w:r>
                      <w:r w:rsidRPr="00684CEA">
                        <w:tab/>
                        <w:t>A mandatory UE beam lock function (UBF) to simplify the test method complexity, such that</w:t>
                      </w:r>
                    </w:p>
                    <w:p w14:paraId="33A11A1E" w14:textId="77777777" w:rsidR="000403A1" w:rsidRPr="00684CEA" w:rsidRDefault="000403A1" w:rsidP="000403A1">
                      <w:pPr>
                        <w:pStyle w:val="B2"/>
                      </w:pPr>
                      <w:r w:rsidRPr="00684CEA">
                        <w:t>-</w:t>
                      </w:r>
                      <w:r w:rsidRPr="00684CEA">
                        <w:tab/>
                        <w:t>The UBF can disable changes to the UE beamforming configuration when in NR_RRC_CONNECTED state</w:t>
                      </w:r>
                    </w:p>
                    <w:p w14:paraId="4673B2C3" w14:textId="77777777" w:rsidR="000403A1" w:rsidRPr="00684CEA" w:rsidRDefault="000403A1" w:rsidP="000403A1">
                      <w:pPr>
                        <w:pStyle w:val="B2"/>
                      </w:pPr>
                      <w:r w:rsidRPr="00684CEA">
                        <w:t>-</w:t>
                      </w:r>
                      <w:r w:rsidRPr="00684CEA">
                        <w:tab/>
                      </w:r>
                      <w:r w:rsidRPr="000403A1">
                        <w:rPr>
                          <w:highlight w:val="yellow"/>
                        </w:rPr>
                        <w:t>The measurement and reporting of synchronization signals reference signal received power per branch (SS-RSRPB)</w:t>
                      </w:r>
                      <w:r w:rsidRPr="00684CEA">
                        <w:t xml:space="preserve"> [14], such that</w:t>
                      </w:r>
                    </w:p>
                    <w:p w14:paraId="5F9DAFB7" w14:textId="77777777" w:rsidR="000403A1" w:rsidRPr="00684CEA" w:rsidRDefault="000403A1" w:rsidP="000403A1">
                      <w:pPr>
                        <w:pStyle w:val="B3"/>
                      </w:pPr>
                      <w:r w:rsidRPr="00684CEA">
                        <w:t>-</w:t>
                      </w:r>
                      <w:r w:rsidRPr="00684CEA">
                        <w:tab/>
                        <w:t xml:space="preserve">These reporting requirements apply to </w:t>
                      </w:r>
                      <w:r w:rsidRPr="000403A1">
                        <w:rPr>
                          <w:highlight w:val="yellow"/>
                        </w:rPr>
                        <w:t>all FR2 UEs</w:t>
                      </w:r>
                      <w:r w:rsidRPr="00684CEA">
                        <w:t xml:space="preserve"> in the context of a test loop</w:t>
                      </w:r>
                    </w:p>
                    <w:p w14:paraId="3F6AE742" w14:textId="77777777" w:rsidR="000403A1" w:rsidRPr="00684CEA" w:rsidRDefault="000403A1" w:rsidP="000403A1">
                      <w:pPr>
                        <w:pStyle w:val="B3"/>
                      </w:pPr>
                      <w:r w:rsidRPr="00684CEA">
                        <w:t>-</w:t>
                      </w:r>
                      <w:r w:rsidRPr="00684CEA">
                        <w:tab/>
                        <w:t>The signalling associated with reporting SS-RSRPB is in a format which allows the UE to report a vector of values, where the number of the reported values equals to the number of receiver branches on the UE</w:t>
                      </w:r>
                    </w:p>
                    <w:p w14:paraId="2F757104" w14:textId="6081A7EB" w:rsidR="000403A1" w:rsidRPr="006328A5" w:rsidRDefault="000403A1" w:rsidP="000403A1">
                      <w:pPr>
                        <w:pStyle w:val="B1"/>
                        <w:rPr>
                          <w:lang w:val="en-US" w:eastAsia="en-GB"/>
                        </w:rPr>
                      </w:pPr>
                      <w:r w:rsidRPr="00684CEA">
                        <w:t>-</w:t>
                      </w:r>
                      <w:r w:rsidRPr="00684CEA">
                        <w:tab/>
                        <w:t>Additional TI functionality is not precluded</w:t>
                      </w:r>
                    </w:p>
                  </w:txbxContent>
                </v:textbox>
                <w10:anchorlock/>
              </v:shape>
            </w:pict>
          </mc:Fallback>
        </mc:AlternateContent>
      </w:r>
    </w:p>
    <w:p w14:paraId="12910349" w14:textId="1750AD96" w:rsidR="000403A1" w:rsidRDefault="005F452F" w:rsidP="000403A1">
      <w:pPr>
        <w:pStyle w:val="af4"/>
        <w:rPr>
          <w:lang w:val="en-GB" w:eastAsia="zh-CN"/>
        </w:rPr>
      </w:pPr>
      <w:r>
        <w:rPr>
          <w:lang w:eastAsia="zh-CN"/>
        </w:rPr>
        <w:t>In TS38.215</w:t>
      </w:r>
      <w:r w:rsidR="002A4BD5">
        <w:rPr>
          <w:lang w:eastAsia="zh-CN"/>
        </w:rPr>
        <w:t xml:space="preserve"> [3]</w:t>
      </w:r>
      <w:r>
        <w:rPr>
          <w:lang w:eastAsia="zh-CN"/>
        </w:rPr>
        <w:t>, it is further clarified that “</w:t>
      </w:r>
      <w:r w:rsidRPr="00054B9C">
        <w:rPr>
          <w:rFonts w:ascii="Arial" w:hAnsi="Arial"/>
          <w:sz w:val="18"/>
        </w:rPr>
        <w:t>For frequency range 2, SS-RSRPB shall be measured for each receiver branch based on the combined signal from antenna elements corresponding to the receiver branch.</w:t>
      </w:r>
      <w:r>
        <w:rPr>
          <w:lang w:eastAsia="zh-CN"/>
        </w:rPr>
        <w:t>”</w:t>
      </w:r>
    </w:p>
    <w:p w14:paraId="6037D392" w14:textId="5AAB212E" w:rsidR="000403A1" w:rsidRDefault="005F452F" w:rsidP="00CF72F6">
      <w:pPr>
        <w:pStyle w:val="af4"/>
        <w:rPr>
          <w:lang w:val="en-GB" w:eastAsia="zh-CN"/>
        </w:rPr>
      </w:pPr>
      <w:r>
        <w:rPr>
          <w:lang w:val="en-GB" w:eastAsia="zh-CN"/>
        </w:rPr>
        <w:lastRenderedPageBreak/>
        <w:t>Based on above, it can be concluded that RSRPB is supported by all FR2 UEs.</w:t>
      </w:r>
    </w:p>
    <w:p w14:paraId="09F112A9" w14:textId="5C53FD12" w:rsidR="00D86A21" w:rsidRDefault="006A1C9E" w:rsidP="00D86A21">
      <w:pPr>
        <w:pStyle w:val="af"/>
        <w:spacing w:after="120"/>
        <w:ind w:left="1418" w:hanging="1418"/>
      </w:pPr>
      <w:bookmarkStart w:id="1" w:name="_Ref1149451"/>
      <w:r>
        <w:t>Observation 1</w:t>
      </w:r>
      <w:r w:rsidR="00D86A21" w:rsidRPr="00101A9A">
        <w:t>:</w:t>
      </w:r>
      <w:r w:rsidR="00D86A21" w:rsidRPr="00101A9A">
        <w:tab/>
      </w:r>
      <w:bookmarkEnd w:id="1"/>
      <w:r>
        <w:t>RSRPB is supported by all FR2 UEs</w:t>
      </w:r>
    </w:p>
    <w:p w14:paraId="186682ED" w14:textId="6AD31C1A" w:rsidR="00183524" w:rsidRDefault="00183524" w:rsidP="00183524">
      <w:pPr>
        <w:pStyle w:val="af4"/>
        <w:rPr>
          <w:lang w:val="en-GB" w:eastAsia="zh-CN"/>
        </w:rPr>
      </w:pPr>
      <w:r>
        <w:rPr>
          <w:lang w:val="en-GB" w:eastAsia="zh-CN"/>
        </w:rPr>
        <w:t>About RSRP(B) accuracy, the SNR assumption is 17dB at beam peak direction. Based on the same SNR assumption, the PSD at reference point is different for different bands.</w:t>
      </w:r>
      <w:r w:rsidR="00B33222">
        <w:rPr>
          <w:lang w:val="en-GB" w:eastAsia="zh-CN"/>
        </w:rPr>
        <w:t xml:space="preserve"> As a matter of fact, SNR side condition in terms of PSD at radiative requirements reference point has been specified for beam correspondence in Table </w:t>
      </w:r>
      <w:r w:rsidR="00B33222" w:rsidRPr="00B33222">
        <w:rPr>
          <w:lang w:val="en-GB" w:eastAsia="zh-CN"/>
        </w:rPr>
        <w:t>6.6.4.3.1-1</w:t>
      </w:r>
      <w:r w:rsidR="00B33222">
        <w:rPr>
          <w:lang w:val="en-GB" w:eastAsia="zh-CN"/>
        </w:rPr>
        <w:t xml:space="preserve"> of TS 38.101-2</w:t>
      </w:r>
      <w:r w:rsidR="002A4BD5">
        <w:rPr>
          <w:lang w:val="en-GB" w:eastAsia="zh-CN"/>
        </w:rPr>
        <w:t xml:space="preserve"> [4]</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6135"/>
      </w:tblGrid>
      <w:tr w:rsidR="00183524" w:rsidRPr="00C04A08" w14:paraId="1BB5C775" w14:textId="77777777" w:rsidTr="00B33222">
        <w:trPr>
          <w:trHeight w:val="187"/>
          <w:jc w:val="center"/>
        </w:trPr>
        <w:tc>
          <w:tcPr>
            <w:tcW w:w="2472" w:type="dxa"/>
            <w:tcBorders>
              <w:top w:val="single" w:sz="4" w:space="0" w:color="auto"/>
              <w:left w:val="single" w:sz="4" w:space="0" w:color="auto"/>
              <w:bottom w:val="nil"/>
              <w:right w:val="single" w:sz="4" w:space="0" w:color="auto"/>
            </w:tcBorders>
            <w:shd w:val="clear" w:color="auto" w:fill="auto"/>
            <w:hideMark/>
          </w:tcPr>
          <w:p w14:paraId="0B3590B2" w14:textId="77777777" w:rsidR="00183524" w:rsidRPr="00C04A08" w:rsidRDefault="00183524" w:rsidP="00BC31D0">
            <w:pPr>
              <w:pStyle w:val="TAH"/>
            </w:pPr>
            <w:r w:rsidRPr="00C04A08">
              <w:t>NR operating bands</w:t>
            </w:r>
          </w:p>
        </w:tc>
        <w:tc>
          <w:tcPr>
            <w:tcW w:w="6135" w:type="dxa"/>
            <w:tcBorders>
              <w:top w:val="single" w:sz="4" w:space="0" w:color="auto"/>
              <w:left w:val="single" w:sz="4" w:space="0" w:color="auto"/>
              <w:bottom w:val="single" w:sz="4" w:space="0" w:color="auto"/>
              <w:right w:val="single" w:sz="4" w:space="0" w:color="auto"/>
            </w:tcBorders>
            <w:hideMark/>
          </w:tcPr>
          <w:p w14:paraId="20FCC246" w14:textId="682D6097" w:rsidR="00183524" w:rsidRPr="00C04A08" w:rsidRDefault="00183524" w:rsidP="005006D9">
            <w:pPr>
              <w:pStyle w:val="TAH"/>
            </w:pPr>
            <w:r w:rsidRPr="00C04A08">
              <w:t>Minimum SSB_RP</w:t>
            </w:r>
          </w:p>
        </w:tc>
      </w:tr>
      <w:tr w:rsidR="00183524" w:rsidRPr="00C04A08" w14:paraId="740A2F62" w14:textId="77777777" w:rsidTr="00B33222">
        <w:trPr>
          <w:trHeight w:val="187"/>
          <w:jc w:val="center"/>
        </w:trPr>
        <w:tc>
          <w:tcPr>
            <w:tcW w:w="2472" w:type="dxa"/>
            <w:tcBorders>
              <w:top w:val="nil"/>
              <w:left w:val="single" w:sz="4" w:space="0" w:color="auto"/>
              <w:bottom w:val="nil"/>
              <w:right w:val="single" w:sz="4" w:space="0" w:color="auto"/>
            </w:tcBorders>
            <w:shd w:val="clear" w:color="auto" w:fill="auto"/>
            <w:hideMark/>
          </w:tcPr>
          <w:p w14:paraId="27B186AF" w14:textId="77777777" w:rsidR="00183524" w:rsidRPr="00C04A08" w:rsidRDefault="00183524" w:rsidP="00BC31D0">
            <w:pPr>
              <w:pStyle w:val="TAH"/>
            </w:pPr>
          </w:p>
        </w:tc>
        <w:tc>
          <w:tcPr>
            <w:tcW w:w="6135" w:type="dxa"/>
            <w:tcBorders>
              <w:top w:val="single" w:sz="4" w:space="0" w:color="auto"/>
              <w:left w:val="single" w:sz="4" w:space="0" w:color="auto"/>
              <w:bottom w:val="single" w:sz="4" w:space="0" w:color="auto"/>
              <w:right w:val="single" w:sz="4" w:space="0" w:color="auto"/>
            </w:tcBorders>
            <w:hideMark/>
          </w:tcPr>
          <w:p w14:paraId="60889D5F" w14:textId="77777777" w:rsidR="00183524" w:rsidRPr="00C04A08" w:rsidRDefault="00183524" w:rsidP="00BC31D0">
            <w:pPr>
              <w:pStyle w:val="TAH"/>
            </w:pPr>
            <w:r w:rsidRPr="00C04A08">
              <w:t>dBm / SCS</w:t>
            </w:r>
            <w:r w:rsidRPr="00C04A08">
              <w:rPr>
                <w:vertAlign w:val="subscript"/>
              </w:rPr>
              <w:t>SSB</w:t>
            </w:r>
          </w:p>
        </w:tc>
      </w:tr>
      <w:tr w:rsidR="00183524" w:rsidRPr="00C04A08" w14:paraId="53D733C0" w14:textId="77777777" w:rsidTr="00B33222">
        <w:trPr>
          <w:trHeight w:val="187"/>
          <w:jc w:val="center"/>
        </w:trPr>
        <w:tc>
          <w:tcPr>
            <w:tcW w:w="2472" w:type="dxa"/>
            <w:tcBorders>
              <w:top w:val="nil"/>
              <w:left w:val="single" w:sz="4" w:space="0" w:color="auto"/>
              <w:bottom w:val="single" w:sz="4" w:space="0" w:color="auto"/>
              <w:right w:val="single" w:sz="4" w:space="0" w:color="auto"/>
            </w:tcBorders>
            <w:shd w:val="clear" w:color="auto" w:fill="auto"/>
            <w:hideMark/>
          </w:tcPr>
          <w:p w14:paraId="45C8B5B1" w14:textId="77777777" w:rsidR="00183524" w:rsidRPr="00C04A08" w:rsidRDefault="00183524" w:rsidP="00BC31D0">
            <w:pPr>
              <w:pStyle w:val="TAH"/>
            </w:pPr>
          </w:p>
        </w:tc>
        <w:tc>
          <w:tcPr>
            <w:tcW w:w="6135" w:type="dxa"/>
            <w:tcBorders>
              <w:top w:val="single" w:sz="4" w:space="0" w:color="auto"/>
              <w:left w:val="single" w:sz="4" w:space="0" w:color="auto"/>
              <w:right w:val="single" w:sz="4" w:space="0" w:color="auto"/>
            </w:tcBorders>
            <w:hideMark/>
          </w:tcPr>
          <w:p w14:paraId="3FEF2124" w14:textId="77777777" w:rsidR="00183524" w:rsidRPr="00C04A08" w:rsidRDefault="00183524" w:rsidP="00BC31D0">
            <w:pPr>
              <w:pStyle w:val="TAH"/>
            </w:pPr>
            <w:r w:rsidRPr="00C04A08">
              <w:t>SCS</w:t>
            </w:r>
            <w:r w:rsidRPr="00C04A08">
              <w:rPr>
                <w:vertAlign w:val="subscript"/>
              </w:rPr>
              <w:t>SSB</w:t>
            </w:r>
            <w:r w:rsidRPr="00C04A08">
              <w:t xml:space="preserve"> = 120 kHz</w:t>
            </w:r>
          </w:p>
        </w:tc>
      </w:tr>
      <w:tr w:rsidR="00183524" w:rsidRPr="00C04A08" w14:paraId="1F63D918" w14:textId="77777777" w:rsidTr="00B33222">
        <w:trPr>
          <w:trHeight w:val="187"/>
          <w:jc w:val="center"/>
        </w:trPr>
        <w:tc>
          <w:tcPr>
            <w:tcW w:w="2472" w:type="dxa"/>
            <w:tcBorders>
              <w:top w:val="single" w:sz="4" w:space="0" w:color="auto"/>
              <w:left w:val="single" w:sz="4" w:space="0" w:color="auto"/>
              <w:bottom w:val="single" w:sz="4" w:space="0" w:color="auto"/>
              <w:right w:val="single" w:sz="4" w:space="0" w:color="auto"/>
            </w:tcBorders>
            <w:hideMark/>
          </w:tcPr>
          <w:p w14:paraId="01E92625" w14:textId="77777777" w:rsidR="00183524" w:rsidRPr="00C04A08" w:rsidRDefault="00183524" w:rsidP="00BC31D0">
            <w:pPr>
              <w:pStyle w:val="TAC"/>
              <w:rPr>
                <w:rFonts w:eastAsia="Calibri"/>
              </w:rPr>
            </w:pPr>
            <w:r w:rsidRPr="00C04A08">
              <w:rPr>
                <w:rFonts w:eastAsia="Calibri"/>
              </w:rPr>
              <w:t>n257</w:t>
            </w:r>
          </w:p>
        </w:tc>
        <w:tc>
          <w:tcPr>
            <w:tcW w:w="6135" w:type="dxa"/>
            <w:tcBorders>
              <w:top w:val="single" w:sz="4" w:space="0" w:color="auto"/>
              <w:left w:val="single" w:sz="4" w:space="0" w:color="auto"/>
              <w:bottom w:val="single" w:sz="4" w:space="0" w:color="auto"/>
              <w:right w:val="single" w:sz="4" w:space="0" w:color="auto"/>
            </w:tcBorders>
          </w:tcPr>
          <w:p w14:paraId="6869014D" w14:textId="77777777" w:rsidR="00183524" w:rsidRPr="00C04A08" w:rsidRDefault="00183524" w:rsidP="00BC31D0">
            <w:pPr>
              <w:pStyle w:val="TAC"/>
            </w:pPr>
            <w:r w:rsidRPr="00C04A08">
              <w:rPr>
                <w:szCs w:val="18"/>
              </w:rPr>
              <w:t>-96.4</w:t>
            </w:r>
          </w:p>
        </w:tc>
      </w:tr>
      <w:tr w:rsidR="00183524" w:rsidRPr="00C04A08" w14:paraId="7838FDCA" w14:textId="77777777" w:rsidTr="00B33222">
        <w:trPr>
          <w:trHeight w:val="187"/>
          <w:jc w:val="center"/>
        </w:trPr>
        <w:tc>
          <w:tcPr>
            <w:tcW w:w="2472" w:type="dxa"/>
            <w:tcBorders>
              <w:top w:val="single" w:sz="4" w:space="0" w:color="auto"/>
              <w:left w:val="single" w:sz="4" w:space="0" w:color="auto"/>
              <w:bottom w:val="single" w:sz="4" w:space="0" w:color="auto"/>
              <w:right w:val="single" w:sz="4" w:space="0" w:color="auto"/>
            </w:tcBorders>
            <w:hideMark/>
          </w:tcPr>
          <w:p w14:paraId="548C2A56" w14:textId="77777777" w:rsidR="00183524" w:rsidRPr="00C04A08" w:rsidRDefault="00183524" w:rsidP="00BC31D0">
            <w:pPr>
              <w:pStyle w:val="TAC"/>
              <w:rPr>
                <w:rFonts w:eastAsia="Calibri"/>
              </w:rPr>
            </w:pPr>
            <w:r w:rsidRPr="00C04A08">
              <w:rPr>
                <w:lang w:val="en-US"/>
              </w:rPr>
              <w:t>n258</w:t>
            </w:r>
          </w:p>
        </w:tc>
        <w:tc>
          <w:tcPr>
            <w:tcW w:w="6135" w:type="dxa"/>
            <w:tcBorders>
              <w:top w:val="single" w:sz="4" w:space="0" w:color="auto"/>
              <w:left w:val="single" w:sz="4" w:space="0" w:color="auto"/>
              <w:bottom w:val="single" w:sz="4" w:space="0" w:color="auto"/>
              <w:right w:val="single" w:sz="4" w:space="0" w:color="auto"/>
            </w:tcBorders>
          </w:tcPr>
          <w:p w14:paraId="2040FD0F" w14:textId="77777777" w:rsidR="00183524" w:rsidRPr="00C04A08" w:rsidRDefault="00183524" w:rsidP="00BC31D0">
            <w:pPr>
              <w:pStyle w:val="TAC"/>
            </w:pPr>
            <w:r w:rsidRPr="00C04A08">
              <w:rPr>
                <w:szCs w:val="18"/>
              </w:rPr>
              <w:t>-96.4</w:t>
            </w:r>
          </w:p>
        </w:tc>
      </w:tr>
      <w:tr w:rsidR="00183524" w:rsidRPr="00C04A08" w14:paraId="4E350A9F" w14:textId="77777777" w:rsidTr="00B33222">
        <w:trPr>
          <w:trHeight w:val="187"/>
          <w:jc w:val="center"/>
        </w:trPr>
        <w:tc>
          <w:tcPr>
            <w:tcW w:w="2472" w:type="dxa"/>
            <w:tcBorders>
              <w:top w:val="single" w:sz="4" w:space="0" w:color="auto"/>
              <w:left w:val="single" w:sz="4" w:space="0" w:color="auto"/>
              <w:bottom w:val="single" w:sz="4" w:space="0" w:color="auto"/>
              <w:right w:val="single" w:sz="4" w:space="0" w:color="auto"/>
            </w:tcBorders>
          </w:tcPr>
          <w:p w14:paraId="3D6D2A51" w14:textId="77777777" w:rsidR="00183524" w:rsidRPr="00C04A08" w:rsidRDefault="00183524" w:rsidP="00BC31D0">
            <w:pPr>
              <w:pStyle w:val="TAC"/>
              <w:rPr>
                <w:lang w:val="en-US"/>
              </w:rPr>
            </w:pPr>
            <w:r>
              <w:rPr>
                <w:lang w:val="en-US"/>
              </w:rPr>
              <w:t>n259</w:t>
            </w:r>
          </w:p>
        </w:tc>
        <w:tc>
          <w:tcPr>
            <w:tcW w:w="6135" w:type="dxa"/>
            <w:tcBorders>
              <w:top w:val="single" w:sz="4" w:space="0" w:color="auto"/>
              <w:left w:val="single" w:sz="4" w:space="0" w:color="auto"/>
              <w:bottom w:val="single" w:sz="4" w:space="0" w:color="auto"/>
              <w:right w:val="single" w:sz="4" w:space="0" w:color="auto"/>
            </w:tcBorders>
          </w:tcPr>
          <w:p w14:paraId="1FFD29B0" w14:textId="77777777" w:rsidR="00183524" w:rsidRPr="00C04A08" w:rsidRDefault="00183524" w:rsidP="00BC31D0">
            <w:pPr>
              <w:pStyle w:val="TAC"/>
              <w:rPr>
                <w:szCs w:val="18"/>
              </w:rPr>
            </w:pPr>
            <w:r w:rsidRPr="00C04A08">
              <w:rPr>
                <w:szCs w:val="18"/>
              </w:rPr>
              <w:t>-92.1</w:t>
            </w:r>
          </w:p>
        </w:tc>
      </w:tr>
      <w:tr w:rsidR="00183524" w:rsidRPr="00C04A08" w14:paraId="181706F2" w14:textId="77777777" w:rsidTr="00B33222">
        <w:trPr>
          <w:trHeight w:val="187"/>
          <w:jc w:val="center"/>
        </w:trPr>
        <w:tc>
          <w:tcPr>
            <w:tcW w:w="2472" w:type="dxa"/>
            <w:tcBorders>
              <w:top w:val="single" w:sz="4" w:space="0" w:color="auto"/>
              <w:left w:val="single" w:sz="4" w:space="0" w:color="auto"/>
              <w:bottom w:val="single" w:sz="4" w:space="0" w:color="auto"/>
              <w:right w:val="single" w:sz="4" w:space="0" w:color="auto"/>
            </w:tcBorders>
            <w:hideMark/>
          </w:tcPr>
          <w:p w14:paraId="63E54CC0" w14:textId="77777777" w:rsidR="00183524" w:rsidRPr="00C04A08" w:rsidRDefault="00183524" w:rsidP="00BC31D0">
            <w:pPr>
              <w:pStyle w:val="TAC"/>
              <w:rPr>
                <w:rFonts w:eastAsia="Calibri"/>
              </w:rPr>
            </w:pPr>
            <w:r w:rsidRPr="00C04A08">
              <w:rPr>
                <w:lang w:val="en-US"/>
              </w:rPr>
              <w:t>n260</w:t>
            </w:r>
          </w:p>
        </w:tc>
        <w:tc>
          <w:tcPr>
            <w:tcW w:w="6135" w:type="dxa"/>
            <w:tcBorders>
              <w:top w:val="single" w:sz="4" w:space="0" w:color="auto"/>
              <w:left w:val="single" w:sz="4" w:space="0" w:color="auto"/>
              <w:bottom w:val="single" w:sz="4" w:space="0" w:color="auto"/>
              <w:right w:val="single" w:sz="4" w:space="0" w:color="auto"/>
            </w:tcBorders>
          </w:tcPr>
          <w:p w14:paraId="6EBE5D87" w14:textId="77777777" w:rsidR="00183524" w:rsidRPr="00C04A08" w:rsidRDefault="00183524" w:rsidP="00BC31D0">
            <w:pPr>
              <w:pStyle w:val="TAC"/>
            </w:pPr>
            <w:r w:rsidRPr="00C04A08">
              <w:rPr>
                <w:szCs w:val="18"/>
              </w:rPr>
              <w:t>-92.1</w:t>
            </w:r>
          </w:p>
        </w:tc>
      </w:tr>
      <w:tr w:rsidR="00183524" w:rsidRPr="00C04A08" w14:paraId="22E03A06" w14:textId="77777777" w:rsidTr="00B33222">
        <w:trPr>
          <w:trHeight w:val="187"/>
          <w:jc w:val="center"/>
        </w:trPr>
        <w:tc>
          <w:tcPr>
            <w:tcW w:w="2472" w:type="dxa"/>
            <w:tcBorders>
              <w:top w:val="single" w:sz="4" w:space="0" w:color="auto"/>
              <w:left w:val="single" w:sz="4" w:space="0" w:color="auto"/>
              <w:bottom w:val="single" w:sz="4" w:space="0" w:color="auto"/>
              <w:right w:val="single" w:sz="4" w:space="0" w:color="auto"/>
            </w:tcBorders>
            <w:hideMark/>
          </w:tcPr>
          <w:p w14:paraId="467231FA" w14:textId="77777777" w:rsidR="00183524" w:rsidRPr="00C04A08" w:rsidRDefault="00183524" w:rsidP="00BC31D0">
            <w:pPr>
              <w:pStyle w:val="TAC"/>
              <w:rPr>
                <w:lang w:val="en-US"/>
              </w:rPr>
            </w:pPr>
            <w:r w:rsidRPr="00C04A08">
              <w:rPr>
                <w:lang w:val="en-US"/>
              </w:rPr>
              <w:t>n261</w:t>
            </w:r>
          </w:p>
        </w:tc>
        <w:tc>
          <w:tcPr>
            <w:tcW w:w="6135" w:type="dxa"/>
            <w:tcBorders>
              <w:top w:val="single" w:sz="4" w:space="0" w:color="auto"/>
              <w:left w:val="single" w:sz="4" w:space="0" w:color="auto"/>
              <w:bottom w:val="single" w:sz="4" w:space="0" w:color="auto"/>
              <w:right w:val="single" w:sz="4" w:space="0" w:color="auto"/>
            </w:tcBorders>
          </w:tcPr>
          <w:p w14:paraId="25F42946" w14:textId="77777777" w:rsidR="00183524" w:rsidRPr="00C04A08" w:rsidRDefault="00183524" w:rsidP="00BC31D0">
            <w:pPr>
              <w:pStyle w:val="TAC"/>
            </w:pPr>
            <w:r w:rsidRPr="00C04A08">
              <w:rPr>
                <w:szCs w:val="18"/>
              </w:rPr>
              <w:t>-96.4</w:t>
            </w:r>
          </w:p>
        </w:tc>
      </w:tr>
    </w:tbl>
    <w:p w14:paraId="73C2975C" w14:textId="77777777" w:rsidR="00183524" w:rsidRDefault="00183524" w:rsidP="005F452F">
      <w:pPr>
        <w:rPr>
          <w:rFonts w:eastAsia="Malgun Gothic"/>
        </w:rPr>
      </w:pPr>
    </w:p>
    <w:p w14:paraId="6F2E3C8E" w14:textId="53881C77" w:rsidR="005F452F" w:rsidRPr="005F452F" w:rsidRDefault="00B33222" w:rsidP="005F452F">
      <w:pPr>
        <w:rPr>
          <w:rFonts w:eastAsia="Malgun Gothic"/>
        </w:rPr>
      </w:pPr>
      <w:r>
        <w:rPr>
          <w:rFonts w:eastAsiaTheme="minorEastAsia"/>
          <w:lang w:eastAsia="zh-CN"/>
        </w:rPr>
        <w:t>The basis of beam correspondence is also RSRP measurement. Its SNR side condition at beam peak direction is also around 17dB. So for RSRP(B) based RX beam peak search, the minimum SSB_RP configuration can be reused.</w:t>
      </w:r>
    </w:p>
    <w:p w14:paraId="459E8C71" w14:textId="728CD64B" w:rsidR="00B004BA" w:rsidRDefault="00B004BA" w:rsidP="00B004BA">
      <w:pPr>
        <w:pStyle w:val="af"/>
        <w:spacing w:after="120"/>
        <w:ind w:left="1418" w:hanging="1418"/>
        <w:rPr>
          <w:lang w:eastAsia="zh-CN"/>
        </w:rPr>
      </w:pPr>
      <w:r w:rsidRPr="00101A9A">
        <w:t xml:space="preserve">Proposal </w:t>
      </w:r>
      <w:r>
        <w:t>1</w:t>
      </w:r>
      <w:r w:rsidRPr="00101A9A">
        <w:t>:</w:t>
      </w:r>
      <w:r w:rsidRPr="00101A9A">
        <w:tab/>
      </w:r>
      <w:r w:rsidR="00183524">
        <w:t>To gu</w:t>
      </w:r>
      <w:r w:rsidR="00183524">
        <w:rPr>
          <w:rFonts w:hint="eastAsia"/>
          <w:lang w:eastAsia="zh-CN"/>
        </w:rPr>
        <w:t>a</w:t>
      </w:r>
      <w:r w:rsidR="00183524">
        <w:rPr>
          <w:lang w:eastAsia="zh-CN"/>
        </w:rPr>
        <w:t>rantee RSRP(B) accuracy, SNR side condition configuration can refer to the minimum SSB_RP specified for beam correspondence in TS 38.101-2</w:t>
      </w:r>
      <w:r>
        <w:rPr>
          <w:lang w:eastAsia="zh-CN"/>
        </w:rPr>
        <w:t>.</w:t>
      </w:r>
    </w:p>
    <w:p w14:paraId="472C9BD3" w14:textId="2376A9BF" w:rsidR="00184E40" w:rsidRPr="007C4CA8" w:rsidRDefault="00184E40" w:rsidP="00184E40">
      <w:pPr>
        <w:pStyle w:val="2"/>
        <w:tabs>
          <w:tab w:val="left" w:pos="720"/>
          <w:tab w:val="left" w:pos="1440"/>
          <w:tab w:val="left" w:pos="2160"/>
          <w:tab w:val="left" w:pos="2880"/>
          <w:tab w:val="left" w:pos="3600"/>
          <w:tab w:val="left" w:pos="4320"/>
          <w:tab w:val="left" w:pos="5040"/>
          <w:tab w:val="right" w:pos="9632"/>
        </w:tabs>
      </w:pPr>
      <w:r>
        <w:t>2.2</w:t>
      </w:r>
      <w:r>
        <w:tab/>
      </w:r>
      <w:r w:rsidR="000028E6">
        <w:rPr>
          <w:lang w:eastAsia="zh-CN"/>
        </w:rPr>
        <w:t>Fast spherical coverage method</w:t>
      </w:r>
      <w:r>
        <w:tab/>
      </w:r>
    </w:p>
    <w:p w14:paraId="60E5B38C" w14:textId="62639B99" w:rsidR="004F5D7A" w:rsidRDefault="00EB47CF" w:rsidP="00184E40">
      <w:pPr>
        <w:rPr>
          <w:lang w:eastAsia="zh-CN"/>
        </w:rPr>
      </w:pPr>
      <w:r>
        <w:rPr>
          <w:lang w:eastAsia="zh-CN"/>
        </w:rPr>
        <w:t>Fast spherical coverage method has also been captured into TR38.884 with test procedures applicable for constant density measurement grid type. The main idea of fast spherical coverage is to terminate test as long as available measurement data pass the requirements. So it does not have to be limited to constant density grid. Following two methods can be considered to enable fast spherical coverage measurement for constant step size grid type.</w:t>
      </w:r>
    </w:p>
    <w:p w14:paraId="22551992" w14:textId="28D1684B" w:rsidR="00EB47CF" w:rsidRDefault="00EB47CF" w:rsidP="00184E40">
      <w:pPr>
        <w:rPr>
          <w:lang w:eastAsia="zh-CN"/>
        </w:rPr>
      </w:pPr>
      <w:r>
        <w:rPr>
          <w:lang w:eastAsia="zh-CN"/>
        </w:rPr>
        <w:t xml:space="preserve">One method is </w:t>
      </w:r>
      <w:r w:rsidR="00147409">
        <w:rPr>
          <w:lang w:eastAsia="zh-CN"/>
        </w:rPr>
        <w:t>a real-time output of spherical coverage result. Taking EIRP spherical coverage as example, when no grid point is measured, the output of EIRP CDF is a very low value like noise floor. Once the measurement of a grid point is done, the EIRP CDF is updated. EIRP CDF is continuously updated as long as measurement of every grid point. As long as the EIRP CDF passes the spherical coverage requirement, the test can be terminated.</w:t>
      </w:r>
    </w:p>
    <w:p w14:paraId="049AD69F" w14:textId="5F8B4806" w:rsidR="00147409" w:rsidRDefault="00147409" w:rsidP="00184E40">
      <w:pPr>
        <w:rPr>
          <w:lang w:eastAsia="zh-CN"/>
        </w:rPr>
      </w:pPr>
      <w:r>
        <w:rPr>
          <w:lang w:eastAsia="zh-CN"/>
        </w:rPr>
        <w:t xml:space="preserve">Another method is based on sin(theta) weighted counting. For constant density grid type, the criteria is </w:t>
      </w:r>
      <w:r>
        <w:t>N</w:t>
      </w:r>
      <w:r w:rsidRPr="00934499">
        <w:rPr>
          <w:vertAlign w:val="subscript"/>
        </w:rPr>
        <w:t>grid, meas, PASS</w:t>
      </w:r>
      <w:r>
        <w:t xml:space="preserve"> /N</w:t>
      </w:r>
      <w:r w:rsidRPr="00934499">
        <w:rPr>
          <w:vertAlign w:val="subscript"/>
        </w:rPr>
        <w:t>grid,total</w:t>
      </w:r>
      <w:r>
        <w:rPr>
          <w:vertAlign w:val="subscript"/>
        </w:rPr>
        <w:t xml:space="preserve"> </w:t>
      </w:r>
      <w:r w:rsidRPr="00147409">
        <w:t xml:space="preserve">&gt;= </w:t>
      </w:r>
      <w:r>
        <w:t>(100 - n</w:t>
      </w:r>
      <w:r w:rsidRPr="00F5541A">
        <w:rPr>
          <w:vertAlign w:val="superscript"/>
        </w:rPr>
        <w:t>th</w:t>
      </w:r>
      <w:r>
        <w:t xml:space="preserve"> percentile for EIRP spherical coverage)%. For constant step size grid type, </w:t>
      </w:r>
      <w:r w:rsidR="006D33EC">
        <w:t>the criteria can be tuned by</w:t>
      </w:r>
      <w:r>
        <w:t xml:space="preserve"> </w:t>
      </w:r>
      <w:r w:rsidR="006D33EC">
        <w:t>applying</w:t>
      </w:r>
      <w:r>
        <w:t xml:space="preserve"> sin(theta) we</w:t>
      </w:r>
      <w:r w:rsidR="006D33EC">
        <w:t>ighting to the counting</w:t>
      </w:r>
      <w:r>
        <w:t>, i.e. N</w:t>
      </w:r>
      <w:r w:rsidRPr="00934499">
        <w:rPr>
          <w:vertAlign w:val="subscript"/>
        </w:rPr>
        <w:t>grid, meas, PASS</w:t>
      </w:r>
      <w:r>
        <w:rPr>
          <w:vertAlign w:val="subscript"/>
        </w:rPr>
        <w:t>_sin(theta)</w:t>
      </w:r>
      <w:r>
        <w:t xml:space="preserve"> /N</w:t>
      </w:r>
      <w:r w:rsidRPr="00934499">
        <w:rPr>
          <w:vertAlign w:val="subscript"/>
        </w:rPr>
        <w:t>grid,total</w:t>
      </w:r>
      <w:r>
        <w:rPr>
          <w:vertAlign w:val="subscript"/>
        </w:rPr>
        <w:t xml:space="preserve">_sin(theta) </w:t>
      </w:r>
      <w:r w:rsidRPr="00147409">
        <w:t xml:space="preserve">&gt;= </w:t>
      </w:r>
      <w:r>
        <w:t>(100 - n</w:t>
      </w:r>
      <w:r w:rsidRPr="00F5541A">
        <w:rPr>
          <w:vertAlign w:val="superscript"/>
        </w:rPr>
        <w:t>th</w:t>
      </w:r>
      <w:r>
        <w:t xml:space="preserve"> percentile for EIRP spherical coverage)%.</w:t>
      </w:r>
    </w:p>
    <w:p w14:paraId="5E51882F" w14:textId="5BC359E2" w:rsidR="00252E4B" w:rsidRDefault="00147409" w:rsidP="00184E40">
      <w:pPr>
        <w:rPr>
          <w:lang w:eastAsia="zh-CN"/>
        </w:rPr>
      </w:pPr>
      <w:r>
        <w:rPr>
          <w:rFonts w:hint="eastAsia"/>
          <w:lang w:eastAsia="zh-CN"/>
        </w:rPr>
        <w:t>S</w:t>
      </w:r>
      <w:r>
        <w:rPr>
          <w:lang w:eastAsia="zh-CN"/>
        </w:rPr>
        <w:t>o we can see that fast spherical coverage measurement method is also applicable for constant step size grid type. RAN4 can further discuss</w:t>
      </w:r>
      <w:r w:rsidR="00444D61">
        <w:rPr>
          <w:lang w:eastAsia="zh-CN"/>
        </w:rPr>
        <w:t xml:space="preserve"> the detailed method on how to enable it in detailed procedure.</w:t>
      </w:r>
    </w:p>
    <w:p w14:paraId="3AF6C34D" w14:textId="1375F4E1" w:rsidR="00315863" w:rsidRDefault="00315863" w:rsidP="00315863">
      <w:pPr>
        <w:pStyle w:val="af"/>
        <w:spacing w:after="120"/>
        <w:ind w:left="1418" w:hanging="1418"/>
        <w:rPr>
          <w:lang w:eastAsia="zh-CN"/>
        </w:rPr>
      </w:pPr>
      <w:r w:rsidRPr="00101A9A">
        <w:t xml:space="preserve">Proposal </w:t>
      </w:r>
      <w:r>
        <w:t>2</w:t>
      </w:r>
      <w:r w:rsidRPr="00101A9A">
        <w:t>:</w:t>
      </w:r>
      <w:r w:rsidRPr="00101A9A">
        <w:tab/>
      </w:r>
      <w:r w:rsidR="00444D61" w:rsidRPr="00444D61">
        <w:t>fast spherical coverage measurement method is also applicable for constant step size grid type</w:t>
      </w:r>
      <w:r w:rsidR="00F846AA">
        <w:rPr>
          <w:lang w:eastAsia="zh-CN"/>
        </w:rPr>
        <w:t>.</w:t>
      </w:r>
    </w:p>
    <w:p w14:paraId="54251045" w14:textId="7E7F95A0"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w:t>
      </w:r>
      <w:r w:rsidR="00D14479">
        <w:t>3</w:t>
      </w:r>
      <w:r>
        <w:tab/>
      </w:r>
      <w:r w:rsidR="000028E6">
        <w:t>about LS update to RAN5</w:t>
      </w:r>
      <w:r w:rsidR="001F27BD">
        <w:tab/>
      </w:r>
    </w:p>
    <w:p w14:paraId="1CA9D07D" w14:textId="55497271" w:rsidR="00F26B28" w:rsidRDefault="00F26B28" w:rsidP="00F26B28">
      <w:pPr>
        <w:rPr>
          <w:lang w:eastAsia="zh-CN"/>
        </w:rPr>
      </w:pPr>
      <w:r>
        <w:rPr>
          <w:lang w:eastAsia="zh-CN"/>
        </w:rPr>
        <w:t>In RAN4#98bis-e meeting, an LS</w:t>
      </w:r>
      <w:r w:rsidR="002A4BD5">
        <w:rPr>
          <w:lang w:eastAsia="zh-CN"/>
        </w:rPr>
        <w:t xml:space="preserve"> </w:t>
      </w:r>
      <w:r>
        <w:rPr>
          <w:lang w:eastAsia="zh-CN"/>
        </w:rPr>
        <w:t xml:space="preserve">to RAN5 was approved to inform RAN5 about RAN4 progress on </w:t>
      </w:r>
      <w:r w:rsidRPr="00F26B28">
        <w:rPr>
          <w:lang w:eastAsia="zh-CN"/>
        </w:rPr>
        <w:t>antenna assumption and measurement grids</w:t>
      </w:r>
      <w:r>
        <w:rPr>
          <w:lang w:eastAsia="zh-CN"/>
        </w:rPr>
        <w:t xml:space="preserve"> in </w:t>
      </w:r>
      <w:r w:rsidRPr="00F26B28">
        <w:rPr>
          <w:lang w:eastAsia="zh-CN"/>
        </w:rPr>
        <w:t>R4-2106128</w:t>
      </w:r>
      <w:r w:rsidR="002A4BD5">
        <w:rPr>
          <w:lang w:eastAsia="zh-CN"/>
        </w:rPr>
        <w:t xml:space="preserve"> </w:t>
      </w:r>
      <w:r w:rsidR="002A4BD5">
        <w:rPr>
          <w:lang w:eastAsia="zh-CN"/>
        </w:rPr>
        <w:t>[5]</w:t>
      </w:r>
      <w:r>
        <w:rPr>
          <w:lang w:eastAsia="zh-CN"/>
        </w:rPr>
        <w:t xml:space="preserve">. With this LS, new measurement grid for </w:t>
      </w:r>
      <w:r w:rsidRPr="00F26B28">
        <w:rPr>
          <w:lang w:eastAsia="zh-CN"/>
        </w:rPr>
        <w:t>TX/RX Beam Peak Search</w:t>
      </w:r>
      <w:r>
        <w:rPr>
          <w:lang w:eastAsia="zh-CN"/>
        </w:rPr>
        <w:t xml:space="preserve"> has informed RAN5. RAN5 was also told that RAN4 was </w:t>
      </w:r>
      <w:r w:rsidRPr="00F26B28">
        <w:rPr>
          <w:lang w:eastAsia="zh-CN"/>
        </w:rPr>
        <w:t>working on the spherical coverage and TRP measurement grid based on 4x2 antenna assumption</w:t>
      </w:r>
      <w:r>
        <w:rPr>
          <w:lang w:eastAsia="zh-CN"/>
        </w:rPr>
        <w:t xml:space="preserve">, and </w:t>
      </w:r>
      <w:r w:rsidR="00D53C6B" w:rsidRPr="00D53C6B">
        <w:rPr>
          <w:lang w:eastAsia="zh-CN"/>
        </w:rPr>
        <w:t>also working on other approaches to reduce FR2 test time</w:t>
      </w:r>
      <w:r w:rsidR="00D53C6B">
        <w:rPr>
          <w:lang w:eastAsia="zh-CN"/>
        </w:rPr>
        <w:t>.</w:t>
      </w:r>
    </w:p>
    <w:p w14:paraId="6821B094" w14:textId="315E2105" w:rsidR="008A028B" w:rsidRDefault="002A3C96" w:rsidP="00E529E6">
      <w:pPr>
        <w:rPr>
          <w:lang w:eastAsia="zh-CN"/>
        </w:rPr>
      </w:pPr>
      <w:r>
        <w:rPr>
          <w:lang w:eastAsia="zh-CN"/>
        </w:rPr>
        <w:t>Considering that most jobs for test time reduction has been done and the 1</w:t>
      </w:r>
      <w:r w:rsidRPr="002A3C96">
        <w:rPr>
          <w:vertAlign w:val="superscript"/>
          <w:lang w:eastAsia="zh-CN"/>
        </w:rPr>
        <w:t>st</w:t>
      </w:r>
      <w:r>
        <w:rPr>
          <w:lang w:eastAsia="zh-CN"/>
        </w:rPr>
        <w:t xml:space="preserve"> official release of TR38.884 is already available, it is helpful for the industry to start RAN5 work to support RAN4’s outcome on test time reduction. At least </w:t>
      </w:r>
      <w:r w:rsidRPr="002A3C96">
        <w:rPr>
          <w:lang w:eastAsia="zh-CN"/>
        </w:rPr>
        <w:t>the new measurement grid method and the single link polarizatio</w:t>
      </w:r>
      <w:r>
        <w:rPr>
          <w:lang w:eastAsia="zh-CN"/>
        </w:rPr>
        <w:t>n measurement method are stable. So we propose to send an updated LS to RAN5 to share the test time reduction progress.</w:t>
      </w:r>
    </w:p>
    <w:p w14:paraId="749374B2" w14:textId="71595403" w:rsidR="00CB7F82" w:rsidRDefault="00712CE8" w:rsidP="00CB7F82">
      <w:pPr>
        <w:pStyle w:val="af"/>
        <w:spacing w:after="120"/>
        <w:ind w:left="1418" w:hanging="1418"/>
        <w:rPr>
          <w:lang w:eastAsia="zh-CN"/>
        </w:rPr>
      </w:pPr>
      <w:r w:rsidRPr="00101A9A">
        <w:t xml:space="preserve">Proposal </w:t>
      </w:r>
      <w:r w:rsidR="00B74088">
        <w:t>3</w:t>
      </w:r>
      <w:r w:rsidRPr="00101A9A">
        <w:t>:</w:t>
      </w:r>
      <w:r w:rsidRPr="00101A9A">
        <w:tab/>
      </w:r>
      <w:r w:rsidR="002A3C96">
        <w:t>inform RAN5 via an updated LS about RAN4’s outcome on test time reduction</w:t>
      </w:r>
      <w:r w:rsidR="00FF730D">
        <w:t>.</w:t>
      </w:r>
    </w:p>
    <w:p w14:paraId="3764CAFA" w14:textId="761D5D35" w:rsidR="00235EE7" w:rsidRDefault="00235EE7" w:rsidP="00235EE7">
      <w:pPr>
        <w:pStyle w:val="1"/>
      </w:pPr>
      <w:r>
        <w:t xml:space="preserve">3. </w:t>
      </w:r>
      <w:r>
        <w:tab/>
        <w:t>Conclusion</w:t>
      </w:r>
    </w:p>
    <w:p w14:paraId="7982B602" w14:textId="77777777" w:rsidR="00FF730D" w:rsidRDefault="00FF730D" w:rsidP="00FF730D">
      <w:pPr>
        <w:pStyle w:val="af"/>
        <w:spacing w:after="120"/>
        <w:ind w:left="1418" w:hanging="1418"/>
      </w:pPr>
      <w:r>
        <w:t>Observation 1</w:t>
      </w:r>
      <w:r w:rsidRPr="00101A9A">
        <w:t>:</w:t>
      </w:r>
      <w:r w:rsidRPr="00101A9A">
        <w:tab/>
      </w:r>
      <w:r>
        <w:t>RSRPB is supported by all FR2 UEs</w:t>
      </w:r>
    </w:p>
    <w:p w14:paraId="295EEE25" w14:textId="77777777" w:rsidR="00FF730D" w:rsidRDefault="00FF730D" w:rsidP="00FF730D">
      <w:pPr>
        <w:pStyle w:val="af"/>
        <w:spacing w:after="120"/>
        <w:ind w:left="1418" w:hanging="1418"/>
        <w:rPr>
          <w:lang w:eastAsia="zh-CN"/>
        </w:rPr>
      </w:pPr>
      <w:r w:rsidRPr="00101A9A">
        <w:lastRenderedPageBreak/>
        <w:t xml:space="preserve">Proposal </w:t>
      </w:r>
      <w:r>
        <w:t>1</w:t>
      </w:r>
      <w:r w:rsidRPr="00101A9A">
        <w:t>:</w:t>
      </w:r>
      <w:r w:rsidRPr="00101A9A">
        <w:tab/>
      </w:r>
      <w:r>
        <w:t>To gu</w:t>
      </w:r>
      <w:r>
        <w:rPr>
          <w:rFonts w:hint="eastAsia"/>
          <w:lang w:eastAsia="zh-CN"/>
        </w:rPr>
        <w:t>a</w:t>
      </w:r>
      <w:r>
        <w:rPr>
          <w:lang w:eastAsia="zh-CN"/>
        </w:rPr>
        <w:t>rantee RSRP(B) accuracy, SNR side condition configuration can refer to the minimum SSB_RP specified for beam correspondence in TS 38.101-2.</w:t>
      </w:r>
    </w:p>
    <w:p w14:paraId="27CB3574" w14:textId="77777777" w:rsidR="00FF730D" w:rsidRDefault="00FF730D" w:rsidP="00FF730D">
      <w:pPr>
        <w:pStyle w:val="af"/>
        <w:spacing w:after="120"/>
        <w:ind w:left="1418" w:hanging="1418"/>
        <w:rPr>
          <w:lang w:eastAsia="zh-CN"/>
        </w:rPr>
      </w:pPr>
      <w:r w:rsidRPr="00101A9A">
        <w:t xml:space="preserve">Proposal </w:t>
      </w:r>
      <w:r>
        <w:t>2</w:t>
      </w:r>
      <w:r w:rsidRPr="00101A9A">
        <w:t>:</w:t>
      </w:r>
      <w:r w:rsidRPr="00101A9A">
        <w:tab/>
      </w:r>
      <w:r w:rsidRPr="00444D61">
        <w:t>fast spherical coverage measurement method is also applicable for constant step size grid type</w:t>
      </w:r>
      <w:r>
        <w:rPr>
          <w:lang w:eastAsia="zh-CN"/>
        </w:rPr>
        <w:t>.</w:t>
      </w:r>
    </w:p>
    <w:p w14:paraId="2C825FD8" w14:textId="5FE1B7E9" w:rsidR="00FF730D" w:rsidRDefault="00FF730D" w:rsidP="00FF730D">
      <w:pPr>
        <w:pStyle w:val="af"/>
        <w:spacing w:after="120"/>
        <w:ind w:left="1418" w:hanging="1418"/>
        <w:rPr>
          <w:lang w:eastAsia="zh-CN"/>
        </w:rPr>
      </w:pPr>
      <w:r w:rsidRPr="00101A9A">
        <w:t xml:space="preserve">Proposal </w:t>
      </w:r>
      <w:r>
        <w:t>3</w:t>
      </w:r>
      <w:r w:rsidRPr="00101A9A">
        <w:t>:</w:t>
      </w:r>
      <w:r w:rsidRPr="00101A9A">
        <w:tab/>
      </w:r>
      <w:r>
        <w:t>inform RAN5 via an updated LS about RAN4’s outcome on test time reduction</w:t>
      </w:r>
      <w:r>
        <w:rPr>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4C8E962" w14:textId="48AC2F35" w:rsidR="0076658F" w:rsidRPr="002A4BD5" w:rsidRDefault="0047480A" w:rsidP="008B066A">
      <w:pPr>
        <w:pStyle w:val="af3"/>
        <w:numPr>
          <w:ilvl w:val="0"/>
          <w:numId w:val="26"/>
        </w:numPr>
        <w:ind w:firstLineChars="0"/>
        <w:rPr>
          <w:lang w:val="en-US"/>
        </w:rPr>
      </w:pPr>
      <w:r>
        <w:t>TR 38.884</w:t>
      </w:r>
      <w:r w:rsidR="002A4BD5">
        <w:t xml:space="preserve"> v1.0.0 (RP-211465)    </w:t>
      </w:r>
      <w:r w:rsidR="002A4BD5">
        <w:t>Study on enhanced test methods for FR2 NR UEs; (Release 17)</w:t>
      </w:r>
    </w:p>
    <w:p w14:paraId="2827B7F6" w14:textId="65BA10EB" w:rsidR="0047480A" w:rsidRPr="002A4BD5" w:rsidRDefault="0047480A" w:rsidP="00C65E21">
      <w:pPr>
        <w:pStyle w:val="af3"/>
        <w:numPr>
          <w:ilvl w:val="0"/>
          <w:numId w:val="26"/>
        </w:numPr>
        <w:ind w:firstLineChars="0"/>
        <w:rPr>
          <w:lang w:val="en-US"/>
        </w:rPr>
      </w:pPr>
      <w:r>
        <w:t>TR 38.810</w:t>
      </w:r>
      <w:r w:rsidR="002A4BD5">
        <w:t xml:space="preserve">    </w:t>
      </w:r>
      <w:r w:rsidR="002A4BD5">
        <w:t>Study on test methods;</w:t>
      </w:r>
      <w:r w:rsidR="002A4BD5">
        <w:t xml:space="preserve"> </w:t>
      </w:r>
      <w:r w:rsidR="002A4BD5">
        <w:t>(Release 16)</w:t>
      </w:r>
    </w:p>
    <w:p w14:paraId="73A3CD85" w14:textId="5026BE45" w:rsidR="0047480A" w:rsidRPr="002A4BD5" w:rsidRDefault="0047480A" w:rsidP="0076658F">
      <w:pPr>
        <w:pStyle w:val="af3"/>
        <w:numPr>
          <w:ilvl w:val="0"/>
          <w:numId w:val="26"/>
        </w:numPr>
        <w:ind w:firstLineChars="0"/>
        <w:rPr>
          <w:lang w:val="en-US"/>
        </w:rPr>
      </w:pPr>
      <w:r>
        <w:t>TS 38.101-2</w:t>
      </w:r>
      <w:r w:rsidR="002A4BD5">
        <w:t xml:space="preserve">    </w:t>
      </w:r>
      <w:r w:rsidR="002A4BD5">
        <w:t>User Equipment (UE) radio transmission and reception; Part 2: Range 2 Standalone</w:t>
      </w:r>
    </w:p>
    <w:p w14:paraId="4FC02F32" w14:textId="42B5CDF0" w:rsidR="002A4BD5" w:rsidRPr="00795AB4" w:rsidRDefault="002A4BD5" w:rsidP="002A4BD5">
      <w:pPr>
        <w:pStyle w:val="af3"/>
        <w:numPr>
          <w:ilvl w:val="0"/>
          <w:numId w:val="26"/>
        </w:numPr>
        <w:ind w:firstLineChars="0"/>
        <w:rPr>
          <w:lang w:val="en-US"/>
        </w:rPr>
      </w:pPr>
      <w:r w:rsidRPr="002A4BD5">
        <w:rPr>
          <w:lang w:val="en-US"/>
        </w:rPr>
        <w:t>R4-2106128</w:t>
      </w:r>
      <w:r>
        <w:rPr>
          <w:lang w:val="en-US"/>
        </w:rPr>
        <w:t xml:space="preserve">    “</w:t>
      </w:r>
      <w:r w:rsidRPr="002A4BD5">
        <w:rPr>
          <w:lang w:val="en-US"/>
        </w:rPr>
        <w:t>LS on antenna assumption and measurement grids for FR2 PC3 UE</w:t>
      </w:r>
      <w:r>
        <w:rPr>
          <w:lang w:val="en-US"/>
        </w:rPr>
        <w:t>”, RAN4</w:t>
      </w:r>
    </w:p>
    <w:bookmarkStart w:id="2" w:name="_GoBack"/>
    <w:bookmarkEnd w:id="2"/>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557F6" w14:textId="77777777" w:rsidR="004405AB" w:rsidRDefault="004405AB" w:rsidP="00707BAC">
      <w:pPr>
        <w:spacing w:after="0"/>
      </w:pPr>
      <w:r>
        <w:separator/>
      </w:r>
    </w:p>
  </w:endnote>
  <w:endnote w:type="continuationSeparator" w:id="0">
    <w:p w14:paraId="433E5500" w14:textId="77777777" w:rsidR="004405AB" w:rsidRDefault="004405A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55E80" w14:textId="77777777" w:rsidR="004405AB" w:rsidRDefault="004405AB" w:rsidP="00707BAC">
      <w:pPr>
        <w:spacing w:after="0"/>
      </w:pPr>
      <w:r>
        <w:separator/>
      </w:r>
    </w:p>
  </w:footnote>
  <w:footnote w:type="continuationSeparator" w:id="0">
    <w:p w14:paraId="052C266F" w14:textId="77777777" w:rsidR="004405AB" w:rsidRDefault="004405A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9D1BF4"/>
    <w:multiLevelType w:val="hybridMultilevel"/>
    <w:tmpl w:val="337ED048"/>
    <w:lvl w:ilvl="0" w:tplc="761EF40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1B671B"/>
    <w:multiLevelType w:val="hybridMultilevel"/>
    <w:tmpl w:val="68DC22FE"/>
    <w:lvl w:ilvl="0" w:tplc="C06A2A28">
      <w:start w:val="1"/>
      <w:numFmt w:val="bullet"/>
      <w:lvlText w:val="•"/>
      <w:lvlJc w:val="left"/>
      <w:pPr>
        <w:tabs>
          <w:tab w:val="num" w:pos="720"/>
        </w:tabs>
        <w:ind w:left="720" w:hanging="360"/>
      </w:pPr>
      <w:rPr>
        <w:rFonts w:ascii="Arial" w:hAnsi="Arial" w:hint="default"/>
      </w:rPr>
    </w:lvl>
    <w:lvl w:ilvl="1" w:tplc="CAC0D354" w:tentative="1">
      <w:start w:val="1"/>
      <w:numFmt w:val="bullet"/>
      <w:lvlText w:val="•"/>
      <w:lvlJc w:val="left"/>
      <w:pPr>
        <w:tabs>
          <w:tab w:val="num" w:pos="1440"/>
        </w:tabs>
        <w:ind w:left="1440" w:hanging="360"/>
      </w:pPr>
      <w:rPr>
        <w:rFonts w:ascii="Arial" w:hAnsi="Arial" w:hint="default"/>
      </w:rPr>
    </w:lvl>
    <w:lvl w:ilvl="2" w:tplc="EACAFB52">
      <w:start w:val="1"/>
      <w:numFmt w:val="bullet"/>
      <w:lvlText w:val="•"/>
      <w:lvlJc w:val="left"/>
      <w:pPr>
        <w:tabs>
          <w:tab w:val="num" w:pos="2160"/>
        </w:tabs>
        <w:ind w:left="2160" w:hanging="360"/>
      </w:pPr>
      <w:rPr>
        <w:rFonts w:ascii="Arial" w:hAnsi="Arial" w:hint="default"/>
      </w:rPr>
    </w:lvl>
    <w:lvl w:ilvl="3" w:tplc="27AE9DB0" w:tentative="1">
      <w:start w:val="1"/>
      <w:numFmt w:val="bullet"/>
      <w:lvlText w:val="•"/>
      <w:lvlJc w:val="left"/>
      <w:pPr>
        <w:tabs>
          <w:tab w:val="num" w:pos="2880"/>
        </w:tabs>
        <w:ind w:left="2880" w:hanging="360"/>
      </w:pPr>
      <w:rPr>
        <w:rFonts w:ascii="Arial" w:hAnsi="Arial" w:hint="default"/>
      </w:rPr>
    </w:lvl>
    <w:lvl w:ilvl="4" w:tplc="DDD856B0" w:tentative="1">
      <w:start w:val="1"/>
      <w:numFmt w:val="bullet"/>
      <w:lvlText w:val="•"/>
      <w:lvlJc w:val="left"/>
      <w:pPr>
        <w:tabs>
          <w:tab w:val="num" w:pos="3600"/>
        </w:tabs>
        <w:ind w:left="3600" w:hanging="360"/>
      </w:pPr>
      <w:rPr>
        <w:rFonts w:ascii="Arial" w:hAnsi="Arial" w:hint="default"/>
      </w:rPr>
    </w:lvl>
    <w:lvl w:ilvl="5" w:tplc="F962DAA2" w:tentative="1">
      <w:start w:val="1"/>
      <w:numFmt w:val="bullet"/>
      <w:lvlText w:val="•"/>
      <w:lvlJc w:val="left"/>
      <w:pPr>
        <w:tabs>
          <w:tab w:val="num" w:pos="4320"/>
        </w:tabs>
        <w:ind w:left="4320" w:hanging="360"/>
      </w:pPr>
      <w:rPr>
        <w:rFonts w:ascii="Arial" w:hAnsi="Arial" w:hint="default"/>
      </w:rPr>
    </w:lvl>
    <w:lvl w:ilvl="6" w:tplc="F9EC98F4" w:tentative="1">
      <w:start w:val="1"/>
      <w:numFmt w:val="bullet"/>
      <w:lvlText w:val="•"/>
      <w:lvlJc w:val="left"/>
      <w:pPr>
        <w:tabs>
          <w:tab w:val="num" w:pos="5040"/>
        </w:tabs>
        <w:ind w:left="5040" w:hanging="360"/>
      </w:pPr>
      <w:rPr>
        <w:rFonts w:ascii="Arial" w:hAnsi="Arial" w:hint="default"/>
      </w:rPr>
    </w:lvl>
    <w:lvl w:ilvl="7" w:tplc="35FC5C00" w:tentative="1">
      <w:start w:val="1"/>
      <w:numFmt w:val="bullet"/>
      <w:lvlText w:val="•"/>
      <w:lvlJc w:val="left"/>
      <w:pPr>
        <w:tabs>
          <w:tab w:val="num" w:pos="5760"/>
        </w:tabs>
        <w:ind w:left="5760" w:hanging="360"/>
      </w:pPr>
      <w:rPr>
        <w:rFonts w:ascii="Arial" w:hAnsi="Arial" w:hint="default"/>
      </w:rPr>
    </w:lvl>
    <w:lvl w:ilvl="8" w:tplc="09A43F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DB5DB6"/>
    <w:multiLevelType w:val="hybridMultilevel"/>
    <w:tmpl w:val="B7861C48"/>
    <w:lvl w:ilvl="0" w:tplc="7870E7A4">
      <w:start w:val="1"/>
      <w:numFmt w:val="bullet"/>
      <w:lvlText w:val="•"/>
      <w:lvlJc w:val="left"/>
      <w:pPr>
        <w:tabs>
          <w:tab w:val="num" w:pos="360"/>
        </w:tabs>
        <w:ind w:left="360" w:hanging="360"/>
      </w:pPr>
      <w:rPr>
        <w:rFonts w:ascii="Arial" w:hAnsi="Arial" w:hint="default"/>
      </w:rPr>
    </w:lvl>
    <w:lvl w:ilvl="1" w:tplc="0A1E7C9E">
      <w:start w:val="1"/>
      <w:numFmt w:val="bullet"/>
      <w:lvlText w:val="•"/>
      <w:lvlJc w:val="left"/>
      <w:pPr>
        <w:tabs>
          <w:tab w:val="num" w:pos="1080"/>
        </w:tabs>
        <w:ind w:left="1080" w:hanging="360"/>
      </w:pPr>
      <w:rPr>
        <w:rFonts w:ascii="Arial" w:hAnsi="Arial" w:hint="default"/>
      </w:rPr>
    </w:lvl>
    <w:lvl w:ilvl="2" w:tplc="18527380">
      <w:start w:val="1"/>
      <w:numFmt w:val="bullet"/>
      <w:lvlText w:val="•"/>
      <w:lvlJc w:val="left"/>
      <w:pPr>
        <w:tabs>
          <w:tab w:val="num" w:pos="1800"/>
        </w:tabs>
        <w:ind w:left="1800" w:hanging="360"/>
      </w:pPr>
      <w:rPr>
        <w:rFonts w:ascii="Arial" w:hAnsi="Arial" w:hint="default"/>
      </w:rPr>
    </w:lvl>
    <w:lvl w:ilvl="3" w:tplc="90F6D5A6" w:tentative="1">
      <w:start w:val="1"/>
      <w:numFmt w:val="bullet"/>
      <w:lvlText w:val="•"/>
      <w:lvlJc w:val="left"/>
      <w:pPr>
        <w:tabs>
          <w:tab w:val="num" w:pos="2520"/>
        </w:tabs>
        <w:ind w:left="2520" w:hanging="360"/>
      </w:pPr>
      <w:rPr>
        <w:rFonts w:ascii="Arial" w:hAnsi="Arial" w:hint="default"/>
      </w:rPr>
    </w:lvl>
    <w:lvl w:ilvl="4" w:tplc="CC405EEE" w:tentative="1">
      <w:start w:val="1"/>
      <w:numFmt w:val="bullet"/>
      <w:lvlText w:val="•"/>
      <w:lvlJc w:val="left"/>
      <w:pPr>
        <w:tabs>
          <w:tab w:val="num" w:pos="3240"/>
        </w:tabs>
        <w:ind w:left="3240" w:hanging="360"/>
      </w:pPr>
      <w:rPr>
        <w:rFonts w:ascii="Arial" w:hAnsi="Arial" w:hint="default"/>
      </w:rPr>
    </w:lvl>
    <w:lvl w:ilvl="5" w:tplc="2F82E7C8" w:tentative="1">
      <w:start w:val="1"/>
      <w:numFmt w:val="bullet"/>
      <w:lvlText w:val="•"/>
      <w:lvlJc w:val="left"/>
      <w:pPr>
        <w:tabs>
          <w:tab w:val="num" w:pos="3960"/>
        </w:tabs>
        <w:ind w:left="3960" w:hanging="360"/>
      </w:pPr>
      <w:rPr>
        <w:rFonts w:ascii="Arial" w:hAnsi="Arial" w:hint="default"/>
      </w:rPr>
    </w:lvl>
    <w:lvl w:ilvl="6" w:tplc="8CBC9B30" w:tentative="1">
      <w:start w:val="1"/>
      <w:numFmt w:val="bullet"/>
      <w:lvlText w:val="•"/>
      <w:lvlJc w:val="left"/>
      <w:pPr>
        <w:tabs>
          <w:tab w:val="num" w:pos="4680"/>
        </w:tabs>
        <w:ind w:left="4680" w:hanging="360"/>
      </w:pPr>
      <w:rPr>
        <w:rFonts w:ascii="Arial" w:hAnsi="Arial" w:hint="default"/>
      </w:rPr>
    </w:lvl>
    <w:lvl w:ilvl="7" w:tplc="240A16B2" w:tentative="1">
      <w:start w:val="1"/>
      <w:numFmt w:val="bullet"/>
      <w:lvlText w:val="•"/>
      <w:lvlJc w:val="left"/>
      <w:pPr>
        <w:tabs>
          <w:tab w:val="num" w:pos="5400"/>
        </w:tabs>
        <w:ind w:left="5400" w:hanging="360"/>
      </w:pPr>
      <w:rPr>
        <w:rFonts w:ascii="Arial" w:hAnsi="Arial" w:hint="default"/>
      </w:rPr>
    </w:lvl>
    <w:lvl w:ilvl="8" w:tplc="03C4C2F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0AB6529"/>
    <w:multiLevelType w:val="hybridMultilevel"/>
    <w:tmpl w:val="664848EA"/>
    <w:lvl w:ilvl="0" w:tplc="A4F004BA">
      <w:start w:val="1"/>
      <w:numFmt w:val="bullet"/>
      <w:lvlText w:val="•"/>
      <w:lvlJc w:val="left"/>
      <w:pPr>
        <w:tabs>
          <w:tab w:val="num" w:pos="720"/>
        </w:tabs>
        <w:ind w:left="720" w:hanging="360"/>
      </w:pPr>
      <w:rPr>
        <w:rFonts w:ascii="Arial" w:hAnsi="Arial" w:hint="default"/>
      </w:rPr>
    </w:lvl>
    <w:lvl w:ilvl="1" w:tplc="CBE0ECA6">
      <w:start w:val="110"/>
      <w:numFmt w:val="bullet"/>
      <w:lvlText w:val="–"/>
      <w:lvlJc w:val="left"/>
      <w:pPr>
        <w:tabs>
          <w:tab w:val="num" w:pos="1440"/>
        </w:tabs>
        <w:ind w:left="1440" w:hanging="360"/>
      </w:pPr>
      <w:rPr>
        <w:rFonts w:ascii="Arial" w:hAnsi="Arial" w:hint="default"/>
      </w:rPr>
    </w:lvl>
    <w:lvl w:ilvl="2" w:tplc="60B8DD74" w:tentative="1">
      <w:start w:val="1"/>
      <w:numFmt w:val="bullet"/>
      <w:lvlText w:val="•"/>
      <w:lvlJc w:val="left"/>
      <w:pPr>
        <w:tabs>
          <w:tab w:val="num" w:pos="2160"/>
        </w:tabs>
        <w:ind w:left="2160" w:hanging="360"/>
      </w:pPr>
      <w:rPr>
        <w:rFonts w:ascii="Arial" w:hAnsi="Arial" w:hint="default"/>
      </w:rPr>
    </w:lvl>
    <w:lvl w:ilvl="3" w:tplc="63C02D58" w:tentative="1">
      <w:start w:val="1"/>
      <w:numFmt w:val="bullet"/>
      <w:lvlText w:val="•"/>
      <w:lvlJc w:val="left"/>
      <w:pPr>
        <w:tabs>
          <w:tab w:val="num" w:pos="2880"/>
        </w:tabs>
        <w:ind w:left="2880" w:hanging="360"/>
      </w:pPr>
      <w:rPr>
        <w:rFonts w:ascii="Arial" w:hAnsi="Arial" w:hint="default"/>
      </w:rPr>
    </w:lvl>
    <w:lvl w:ilvl="4" w:tplc="F286C8B6" w:tentative="1">
      <w:start w:val="1"/>
      <w:numFmt w:val="bullet"/>
      <w:lvlText w:val="•"/>
      <w:lvlJc w:val="left"/>
      <w:pPr>
        <w:tabs>
          <w:tab w:val="num" w:pos="3600"/>
        </w:tabs>
        <w:ind w:left="3600" w:hanging="360"/>
      </w:pPr>
      <w:rPr>
        <w:rFonts w:ascii="Arial" w:hAnsi="Arial" w:hint="default"/>
      </w:rPr>
    </w:lvl>
    <w:lvl w:ilvl="5" w:tplc="97AADB02" w:tentative="1">
      <w:start w:val="1"/>
      <w:numFmt w:val="bullet"/>
      <w:lvlText w:val="•"/>
      <w:lvlJc w:val="left"/>
      <w:pPr>
        <w:tabs>
          <w:tab w:val="num" w:pos="4320"/>
        </w:tabs>
        <w:ind w:left="4320" w:hanging="360"/>
      </w:pPr>
      <w:rPr>
        <w:rFonts w:ascii="Arial" w:hAnsi="Arial" w:hint="default"/>
      </w:rPr>
    </w:lvl>
    <w:lvl w:ilvl="6" w:tplc="609EFB74" w:tentative="1">
      <w:start w:val="1"/>
      <w:numFmt w:val="bullet"/>
      <w:lvlText w:val="•"/>
      <w:lvlJc w:val="left"/>
      <w:pPr>
        <w:tabs>
          <w:tab w:val="num" w:pos="5040"/>
        </w:tabs>
        <w:ind w:left="5040" w:hanging="360"/>
      </w:pPr>
      <w:rPr>
        <w:rFonts w:ascii="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vl="8" w:tplc="531027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D8656C"/>
    <w:multiLevelType w:val="hybridMultilevel"/>
    <w:tmpl w:val="6B14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387204"/>
    <w:multiLevelType w:val="hybridMultilevel"/>
    <w:tmpl w:val="8D009C6E"/>
    <w:lvl w:ilvl="0" w:tplc="1DF492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E62D48"/>
    <w:multiLevelType w:val="hybridMultilevel"/>
    <w:tmpl w:val="B81214A8"/>
    <w:lvl w:ilvl="0" w:tplc="D8D01E10">
      <w:start w:val="1"/>
      <w:numFmt w:val="bullet"/>
      <w:lvlText w:val="–"/>
      <w:lvlJc w:val="left"/>
      <w:pPr>
        <w:tabs>
          <w:tab w:val="num" w:pos="720"/>
        </w:tabs>
        <w:ind w:left="720" w:hanging="360"/>
      </w:pPr>
      <w:rPr>
        <w:rFonts w:ascii="Arial" w:hAnsi="Arial" w:hint="default"/>
      </w:rPr>
    </w:lvl>
    <w:lvl w:ilvl="1" w:tplc="C2BA07D2">
      <w:start w:val="1"/>
      <w:numFmt w:val="bullet"/>
      <w:lvlText w:val="–"/>
      <w:lvlJc w:val="left"/>
      <w:pPr>
        <w:tabs>
          <w:tab w:val="num" w:pos="1440"/>
        </w:tabs>
        <w:ind w:left="1440" w:hanging="360"/>
      </w:pPr>
      <w:rPr>
        <w:rFonts w:ascii="Arial" w:hAnsi="Arial" w:hint="default"/>
      </w:rPr>
    </w:lvl>
    <w:lvl w:ilvl="2" w:tplc="3D72C62E" w:tentative="1">
      <w:start w:val="1"/>
      <w:numFmt w:val="bullet"/>
      <w:lvlText w:val="–"/>
      <w:lvlJc w:val="left"/>
      <w:pPr>
        <w:tabs>
          <w:tab w:val="num" w:pos="2160"/>
        </w:tabs>
        <w:ind w:left="2160" w:hanging="360"/>
      </w:pPr>
      <w:rPr>
        <w:rFonts w:ascii="Arial" w:hAnsi="Arial" w:hint="default"/>
      </w:rPr>
    </w:lvl>
    <w:lvl w:ilvl="3" w:tplc="8DD82708" w:tentative="1">
      <w:start w:val="1"/>
      <w:numFmt w:val="bullet"/>
      <w:lvlText w:val="–"/>
      <w:lvlJc w:val="left"/>
      <w:pPr>
        <w:tabs>
          <w:tab w:val="num" w:pos="2880"/>
        </w:tabs>
        <w:ind w:left="2880" w:hanging="360"/>
      </w:pPr>
      <w:rPr>
        <w:rFonts w:ascii="Arial" w:hAnsi="Arial" w:hint="default"/>
      </w:rPr>
    </w:lvl>
    <w:lvl w:ilvl="4" w:tplc="D5603EA2" w:tentative="1">
      <w:start w:val="1"/>
      <w:numFmt w:val="bullet"/>
      <w:lvlText w:val="–"/>
      <w:lvlJc w:val="left"/>
      <w:pPr>
        <w:tabs>
          <w:tab w:val="num" w:pos="3600"/>
        </w:tabs>
        <w:ind w:left="3600" w:hanging="360"/>
      </w:pPr>
      <w:rPr>
        <w:rFonts w:ascii="Arial" w:hAnsi="Arial" w:hint="default"/>
      </w:rPr>
    </w:lvl>
    <w:lvl w:ilvl="5" w:tplc="49302E98" w:tentative="1">
      <w:start w:val="1"/>
      <w:numFmt w:val="bullet"/>
      <w:lvlText w:val="–"/>
      <w:lvlJc w:val="left"/>
      <w:pPr>
        <w:tabs>
          <w:tab w:val="num" w:pos="4320"/>
        </w:tabs>
        <w:ind w:left="4320" w:hanging="360"/>
      </w:pPr>
      <w:rPr>
        <w:rFonts w:ascii="Arial" w:hAnsi="Arial" w:hint="default"/>
      </w:rPr>
    </w:lvl>
    <w:lvl w:ilvl="6" w:tplc="D43A47C8" w:tentative="1">
      <w:start w:val="1"/>
      <w:numFmt w:val="bullet"/>
      <w:lvlText w:val="–"/>
      <w:lvlJc w:val="left"/>
      <w:pPr>
        <w:tabs>
          <w:tab w:val="num" w:pos="5040"/>
        </w:tabs>
        <w:ind w:left="5040" w:hanging="360"/>
      </w:pPr>
      <w:rPr>
        <w:rFonts w:ascii="Arial" w:hAnsi="Arial" w:hint="default"/>
      </w:rPr>
    </w:lvl>
    <w:lvl w:ilvl="7" w:tplc="1778A926" w:tentative="1">
      <w:start w:val="1"/>
      <w:numFmt w:val="bullet"/>
      <w:lvlText w:val="–"/>
      <w:lvlJc w:val="left"/>
      <w:pPr>
        <w:tabs>
          <w:tab w:val="num" w:pos="5760"/>
        </w:tabs>
        <w:ind w:left="5760" w:hanging="360"/>
      </w:pPr>
      <w:rPr>
        <w:rFonts w:ascii="Arial" w:hAnsi="Arial" w:hint="default"/>
      </w:rPr>
    </w:lvl>
    <w:lvl w:ilvl="8" w:tplc="C0F03E0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8C09ED"/>
    <w:multiLevelType w:val="hybridMultilevel"/>
    <w:tmpl w:val="D90052F0"/>
    <w:lvl w:ilvl="0" w:tplc="361C1D28">
      <w:start w:val="1"/>
      <w:numFmt w:val="bullet"/>
      <w:lvlText w:val="–"/>
      <w:lvlJc w:val="left"/>
      <w:pPr>
        <w:tabs>
          <w:tab w:val="num" w:pos="720"/>
        </w:tabs>
        <w:ind w:left="720" w:hanging="360"/>
      </w:pPr>
      <w:rPr>
        <w:rFonts w:ascii="Arial" w:hAnsi="Arial" w:hint="default"/>
      </w:rPr>
    </w:lvl>
    <w:lvl w:ilvl="1" w:tplc="005AEFE8">
      <w:start w:val="1"/>
      <w:numFmt w:val="bullet"/>
      <w:lvlText w:val="–"/>
      <w:lvlJc w:val="left"/>
      <w:pPr>
        <w:tabs>
          <w:tab w:val="num" w:pos="1440"/>
        </w:tabs>
        <w:ind w:left="1440" w:hanging="360"/>
      </w:pPr>
      <w:rPr>
        <w:rFonts w:ascii="Arial" w:hAnsi="Arial" w:hint="default"/>
      </w:rPr>
    </w:lvl>
    <w:lvl w:ilvl="2" w:tplc="3F8A221A" w:tentative="1">
      <w:start w:val="1"/>
      <w:numFmt w:val="bullet"/>
      <w:lvlText w:val="–"/>
      <w:lvlJc w:val="left"/>
      <w:pPr>
        <w:tabs>
          <w:tab w:val="num" w:pos="2160"/>
        </w:tabs>
        <w:ind w:left="2160" w:hanging="360"/>
      </w:pPr>
      <w:rPr>
        <w:rFonts w:ascii="Arial" w:hAnsi="Arial" w:hint="default"/>
      </w:rPr>
    </w:lvl>
    <w:lvl w:ilvl="3" w:tplc="92D22400" w:tentative="1">
      <w:start w:val="1"/>
      <w:numFmt w:val="bullet"/>
      <w:lvlText w:val="–"/>
      <w:lvlJc w:val="left"/>
      <w:pPr>
        <w:tabs>
          <w:tab w:val="num" w:pos="2880"/>
        </w:tabs>
        <w:ind w:left="2880" w:hanging="360"/>
      </w:pPr>
      <w:rPr>
        <w:rFonts w:ascii="Arial" w:hAnsi="Arial" w:hint="default"/>
      </w:rPr>
    </w:lvl>
    <w:lvl w:ilvl="4" w:tplc="97C86A1A" w:tentative="1">
      <w:start w:val="1"/>
      <w:numFmt w:val="bullet"/>
      <w:lvlText w:val="–"/>
      <w:lvlJc w:val="left"/>
      <w:pPr>
        <w:tabs>
          <w:tab w:val="num" w:pos="3600"/>
        </w:tabs>
        <w:ind w:left="3600" w:hanging="360"/>
      </w:pPr>
      <w:rPr>
        <w:rFonts w:ascii="Arial" w:hAnsi="Arial" w:hint="default"/>
      </w:rPr>
    </w:lvl>
    <w:lvl w:ilvl="5" w:tplc="D7020516" w:tentative="1">
      <w:start w:val="1"/>
      <w:numFmt w:val="bullet"/>
      <w:lvlText w:val="–"/>
      <w:lvlJc w:val="left"/>
      <w:pPr>
        <w:tabs>
          <w:tab w:val="num" w:pos="4320"/>
        </w:tabs>
        <w:ind w:left="4320" w:hanging="360"/>
      </w:pPr>
      <w:rPr>
        <w:rFonts w:ascii="Arial" w:hAnsi="Arial" w:hint="default"/>
      </w:rPr>
    </w:lvl>
    <w:lvl w:ilvl="6" w:tplc="63EEFE3E" w:tentative="1">
      <w:start w:val="1"/>
      <w:numFmt w:val="bullet"/>
      <w:lvlText w:val="–"/>
      <w:lvlJc w:val="left"/>
      <w:pPr>
        <w:tabs>
          <w:tab w:val="num" w:pos="5040"/>
        </w:tabs>
        <w:ind w:left="5040" w:hanging="360"/>
      </w:pPr>
      <w:rPr>
        <w:rFonts w:ascii="Arial" w:hAnsi="Arial" w:hint="default"/>
      </w:rPr>
    </w:lvl>
    <w:lvl w:ilvl="7" w:tplc="379CC25A" w:tentative="1">
      <w:start w:val="1"/>
      <w:numFmt w:val="bullet"/>
      <w:lvlText w:val="–"/>
      <w:lvlJc w:val="left"/>
      <w:pPr>
        <w:tabs>
          <w:tab w:val="num" w:pos="5760"/>
        </w:tabs>
        <w:ind w:left="5760" w:hanging="360"/>
      </w:pPr>
      <w:rPr>
        <w:rFonts w:ascii="Arial" w:hAnsi="Arial" w:hint="default"/>
      </w:rPr>
    </w:lvl>
    <w:lvl w:ilvl="8" w:tplc="6A465B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D07D9F"/>
    <w:multiLevelType w:val="hybridMultilevel"/>
    <w:tmpl w:val="E618D512"/>
    <w:lvl w:ilvl="0" w:tplc="532051D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7"/>
  </w:num>
  <w:num w:numId="9">
    <w:abstractNumId w:val="28"/>
  </w:num>
  <w:num w:numId="10">
    <w:abstractNumId w:val="26"/>
  </w:num>
  <w:num w:numId="11">
    <w:abstractNumId w:val="24"/>
  </w:num>
  <w:num w:numId="12">
    <w:abstractNumId w:val="14"/>
  </w:num>
  <w:num w:numId="13">
    <w:abstractNumId w:val="35"/>
  </w:num>
  <w:num w:numId="14">
    <w:abstractNumId w:val="23"/>
  </w:num>
  <w:num w:numId="15">
    <w:abstractNumId w:val="12"/>
  </w:num>
  <w:num w:numId="16">
    <w:abstractNumId w:val="47"/>
  </w:num>
  <w:num w:numId="17">
    <w:abstractNumId w:val="25"/>
  </w:num>
  <w:num w:numId="18">
    <w:abstractNumId w:val="44"/>
  </w:num>
  <w:num w:numId="19">
    <w:abstractNumId w:val="20"/>
  </w:num>
  <w:num w:numId="20">
    <w:abstractNumId w:val="27"/>
  </w:num>
  <w:num w:numId="21">
    <w:abstractNumId w:val="41"/>
  </w:num>
  <w:num w:numId="22">
    <w:abstractNumId w:val="48"/>
  </w:num>
  <w:num w:numId="23">
    <w:abstractNumId w:val="33"/>
  </w:num>
  <w:num w:numId="24">
    <w:abstractNumId w:val="30"/>
  </w:num>
  <w:num w:numId="25">
    <w:abstractNumId w:val="29"/>
  </w:num>
  <w:num w:numId="26">
    <w:abstractNumId w:val="46"/>
  </w:num>
  <w:num w:numId="27">
    <w:abstractNumId w:val="7"/>
  </w:num>
  <w:num w:numId="28">
    <w:abstractNumId w:val="31"/>
  </w:num>
  <w:num w:numId="29">
    <w:abstractNumId w:val="36"/>
  </w:num>
  <w:num w:numId="30">
    <w:abstractNumId w:val="40"/>
  </w:num>
  <w:num w:numId="31">
    <w:abstractNumId w:val="21"/>
  </w:num>
  <w:num w:numId="32">
    <w:abstractNumId w:val="38"/>
  </w:num>
  <w:num w:numId="33">
    <w:abstractNumId w:val="9"/>
  </w:num>
  <w:num w:numId="34">
    <w:abstractNumId w:val="17"/>
  </w:num>
  <w:num w:numId="35">
    <w:abstractNumId w:val="16"/>
  </w:num>
  <w:num w:numId="36">
    <w:abstractNumId w:val="10"/>
  </w:num>
  <w:num w:numId="37">
    <w:abstractNumId w:val="19"/>
  </w:num>
  <w:num w:numId="38">
    <w:abstractNumId w:val="22"/>
  </w:num>
  <w:num w:numId="39">
    <w:abstractNumId w:val="34"/>
  </w:num>
  <w:num w:numId="40">
    <w:abstractNumId w:val="8"/>
  </w:num>
  <w:num w:numId="41">
    <w:abstractNumId w:val="18"/>
  </w:num>
  <w:num w:numId="42">
    <w:abstractNumId w:val="45"/>
  </w:num>
  <w:num w:numId="43">
    <w:abstractNumId w:val="42"/>
  </w:num>
  <w:num w:numId="44">
    <w:abstractNumId w:val="43"/>
  </w:num>
  <w:num w:numId="45">
    <w:abstractNumId w:val="13"/>
  </w:num>
  <w:num w:numId="46">
    <w:abstractNumId w:val="32"/>
  </w:num>
  <w:num w:numId="47">
    <w:abstractNumId w:val="39"/>
  </w:num>
  <w:num w:numId="48">
    <w:abstractNumId w:val="11"/>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7524"/>
    <w:rsid w:val="00017F5A"/>
    <w:rsid w:val="00020CA0"/>
    <w:rsid w:val="00021CED"/>
    <w:rsid w:val="00022941"/>
    <w:rsid w:val="00022AC0"/>
    <w:rsid w:val="000235E9"/>
    <w:rsid w:val="0002422F"/>
    <w:rsid w:val="000262B9"/>
    <w:rsid w:val="00031D75"/>
    <w:rsid w:val="00032669"/>
    <w:rsid w:val="00032E87"/>
    <w:rsid w:val="00034784"/>
    <w:rsid w:val="00037A84"/>
    <w:rsid w:val="00037E40"/>
    <w:rsid w:val="000403A1"/>
    <w:rsid w:val="00041FAA"/>
    <w:rsid w:val="00043AE7"/>
    <w:rsid w:val="0004455E"/>
    <w:rsid w:val="000454A9"/>
    <w:rsid w:val="0005245A"/>
    <w:rsid w:val="0005251E"/>
    <w:rsid w:val="000543C8"/>
    <w:rsid w:val="000561FD"/>
    <w:rsid w:val="0006136D"/>
    <w:rsid w:val="00061E36"/>
    <w:rsid w:val="00062E39"/>
    <w:rsid w:val="00065FBC"/>
    <w:rsid w:val="00066825"/>
    <w:rsid w:val="00067AAA"/>
    <w:rsid w:val="000735D4"/>
    <w:rsid w:val="00076364"/>
    <w:rsid w:val="0007681D"/>
    <w:rsid w:val="00077EB3"/>
    <w:rsid w:val="00085E46"/>
    <w:rsid w:val="000901B5"/>
    <w:rsid w:val="000908D9"/>
    <w:rsid w:val="00092B0C"/>
    <w:rsid w:val="00096A32"/>
    <w:rsid w:val="00097642"/>
    <w:rsid w:val="00097B20"/>
    <w:rsid w:val="000A012E"/>
    <w:rsid w:val="000A28B3"/>
    <w:rsid w:val="000A2CB4"/>
    <w:rsid w:val="000A355F"/>
    <w:rsid w:val="000A567D"/>
    <w:rsid w:val="000A5E63"/>
    <w:rsid w:val="000A643B"/>
    <w:rsid w:val="000A6859"/>
    <w:rsid w:val="000B0067"/>
    <w:rsid w:val="000B06B3"/>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C73"/>
    <w:rsid w:val="00164965"/>
    <w:rsid w:val="0016561A"/>
    <w:rsid w:val="00165F9B"/>
    <w:rsid w:val="00166E65"/>
    <w:rsid w:val="00166E70"/>
    <w:rsid w:val="001706CE"/>
    <w:rsid w:val="00171914"/>
    <w:rsid w:val="00172362"/>
    <w:rsid w:val="00173477"/>
    <w:rsid w:val="001735AE"/>
    <w:rsid w:val="001749F9"/>
    <w:rsid w:val="00176BE7"/>
    <w:rsid w:val="00180BAA"/>
    <w:rsid w:val="00183524"/>
    <w:rsid w:val="00184E40"/>
    <w:rsid w:val="00186821"/>
    <w:rsid w:val="001927C1"/>
    <w:rsid w:val="00194778"/>
    <w:rsid w:val="001965EF"/>
    <w:rsid w:val="00196AD3"/>
    <w:rsid w:val="001A09A7"/>
    <w:rsid w:val="001A0C12"/>
    <w:rsid w:val="001A2643"/>
    <w:rsid w:val="001A3577"/>
    <w:rsid w:val="001A5E68"/>
    <w:rsid w:val="001A65EF"/>
    <w:rsid w:val="001A6E64"/>
    <w:rsid w:val="001B07BB"/>
    <w:rsid w:val="001B222A"/>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27BD"/>
    <w:rsid w:val="001F4C41"/>
    <w:rsid w:val="001F62BD"/>
    <w:rsid w:val="001F6791"/>
    <w:rsid w:val="001F7D2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2F34"/>
    <w:rsid w:val="00266CCC"/>
    <w:rsid w:val="002702A8"/>
    <w:rsid w:val="002715F5"/>
    <w:rsid w:val="00271625"/>
    <w:rsid w:val="00271A13"/>
    <w:rsid w:val="00271A4B"/>
    <w:rsid w:val="00271E8B"/>
    <w:rsid w:val="00272536"/>
    <w:rsid w:val="00280E6B"/>
    <w:rsid w:val="00281315"/>
    <w:rsid w:val="00281A87"/>
    <w:rsid w:val="00281EEF"/>
    <w:rsid w:val="002820E8"/>
    <w:rsid w:val="0029221E"/>
    <w:rsid w:val="002927A0"/>
    <w:rsid w:val="00292875"/>
    <w:rsid w:val="00293D04"/>
    <w:rsid w:val="00293E95"/>
    <w:rsid w:val="00294CB9"/>
    <w:rsid w:val="002954A1"/>
    <w:rsid w:val="002960BC"/>
    <w:rsid w:val="00296FE3"/>
    <w:rsid w:val="002A08FE"/>
    <w:rsid w:val="002A0EE7"/>
    <w:rsid w:val="002A1465"/>
    <w:rsid w:val="002A1534"/>
    <w:rsid w:val="002A1C01"/>
    <w:rsid w:val="002A35C0"/>
    <w:rsid w:val="002A3C96"/>
    <w:rsid w:val="002A482D"/>
    <w:rsid w:val="002A4BD5"/>
    <w:rsid w:val="002A58FF"/>
    <w:rsid w:val="002B09A1"/>
    <w:rsid w:val="002B2704"/>
    <w:rsid w:val="002B2C8C"/>
    <w:rsid w:val="002B3F06"/>
    <w:rsid w:val="002B76BD"/>
    <w:rsid w:val="002C188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4937"/>
    <w:rsid w:val="00396CB4"/>
    <w:rsid w:val="0039732A"/>
    <w:rsid w:val="003A1D5C"/>
    <w:rsid w:val="003A281C"/>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45A0"/>
    <w:rsid w:val="003E4CBC"/>
    <w:rsid w:val="003E501D"/>
    <w:rsid w:val="003E722B"/>
    <w:rsid w:val="003F01CB"/>
    <w:rsid w:val="003F1C99"/>
    <w:rsid w:val="003F2104"/>
    <w:rsid w:val="003F30E0"/>
    <w:rsid w:val="003F317D"/>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05AB"/>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80A"/>
    <w:rsid w:val="00474FE5"/>
    <w:rsid w:val="004775C3"/>
    <w:rsid w:val="00481250"/>
    <w:rsid w:val="00481B29"/>
    <w:rsid w:val="00482C49"/>
    <w:rsid w:val="00484A20"/>
    <w:rsid w:val="00484C72"/>
    <w:rsid w:val="00487483"/>
    <w:rsid w:val="00493943"/>
    <w:rsid w:val="00493EAA"/>
    <w:rsid w:val="004962A6"/>
    <w:rsid w:val="00496FBC"/>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609F"/>
    <w:rsid w:val="005160BC"/>
    <w:rsid w:val="00516961"/>
    <w:rsid w:val="00521539"/>
    <w:rsid w:val="00523BBE"/>
    <w:rsid w:val="00524E6D"/>
    <w:rsid w:val="00525A8A"/>
    <w:rsid w:val="005266F8"/>
    <w:rsid w:val="005324DC"/>
    <w:rsid w:val="00532DE4"/>
    <w:rsid w:val="00532E55"/>
    <w:rsid w:val="00532EAA"/>
    <w:rsid w:val="005341AC"/>
    <w:rsid w:val="00534509"/>
    <w:rsid w:val="00537DD3"/>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402D"/>
    <w:rsid w:val="00606A5C"/>
    <w:rsid w:val="006126E1"/>
    <w:rsid w:val="0061305F"/>
    <w:rsid w:val="006138DF"/>
    <w:rsid w:val="00613A36"/>
    <w:rsid w:val="00614451"/>
    <w:rsid w:val="00614B5C"/>
    <w:rsid w:val="00615B9F"/>
    <w:rsid w:val="00620F8A"/>
    <w:rsid w:val="00624B95"/>
    <w:rsid w:val="00624FB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E7B"/>
    <w:rsid w:val="006D7CD3"/>
    <w:rsid w:val="006D7F36"/>
    <w:rsid w:val="006E06A3"/>
    <w:rsid w:val="006E159B"/>
    <w:rsid w:val="006E1DCD"/>
    <w:rsid w:val="006E25C8"/>
    <w:rsid w:val="006E274D"/>
    <w:rsid w:val="006E5BDF"/>
    <w:rsid w:val="006E7801"/>
    <w:rsid w:val="006F0EDA"/>
    <w:rsid w:val="006F2300"/>
    <w:rsid w:val="006F5D2F"/>
    <w:rsid w:val="006F77A5"/>
    <w:rsid w:val="007009E6"/>
    <w:rsid w:val="0070412E"/>
    <w:rsid w:val="007059AA"/>
    <w:rsid w:val="00706B0F"/>
    <w:rsid w:val="007070AF"/>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487C"/>
    <w:rsid w:val="007B605F"/>
    <w:rsid w:val="007B63D8"/>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323B"/>
    <w:rsid w:val="008260DD"/>
    <w:rsid w:val="00830C2E"/>
    <w:rsid w:val="008313D4"/>
    <w:rsid w:val="00832517"/>
    <w:rsid w:val="0083258A"/>
    <w:rsid w:val="00835AEA"/>
    <w:rsid w:val="00840344"/>
    <w:rsid w:val="0084194E"/>
    <w:rsid w:val="00843682"/>
    <w:rsid w:val="00843945"/>
    <w:rsid w:val="00847E91"/>
    <w:rsid w:val="00850213"/>
    <w:rsid w:val="00851D3E"/>
    <w:rsid w:val="00854CDE"/>
    <w:rsid w:val="008561B0"/>
    <w:rsid w:val="008616FC"/>
    <w:rsid w:val="00862D21"/>
    <w:rsid w:val="0086409E"/>
    <w:rsid w:val="0087296A"/>
    <w:rsid w:val="00873078"/>
    <w:rsid w:val="008763BE"/>
    <w:rsid w:val="008765FC"/>
    <w:rsid w:val="00877F4C"/>
    <w:rsid w:val="00881ABF"/>
    <w:rsid w:val="00881B6A"/>
    <w:rsid w:val="00885E3A"/>
    <w:rsid w:val="0088739F"/>
    <w:rsid w:val="008908E8"/>
    <w:rsid w:val="0089500C"/>
    <w:rsid w:val="00896B83"/>
    <w:rsid w:val="008A028B"/>
    <w:rsid w:val="008A2D89"/>
    <w:rsid w:val="008A4C1E"/>
    <w:rsid w:val="008A54A4"/>
    <w:rsid w:val="008B016A"/>
    <w:rsid w:val="008B3700"/>
    <w:rsid w:val="008B3FFC"/>
    <w:rsid w:val="008B5B7D"/>
    <w:rsid w:val="008C1A14"/>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2727"/>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70BDA"/>
    <w:rsid w:val="00A72DC8"/>
    <w:rsid w:val="00A770F1"/>
    <w:rsid w:val="00A812C2"/>
    <w:rsid w:val="00A81B1E"/>
    <w:rsid w:val="00A8315B"/>
    <w:rsid w:val="00A857B5"/>
    <w:rsid w:val="00A87689"/>
    <w:rsid w:val="00A908CB"/>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06A"/>
    <w:rsid w:val="00AB06A4"/>
    <w:rsid w:val="00AB357F"/>
    <w:rsid w:val="00AB66DB"/>
    <w:rsid w:val="00AB6DDF"/>
    <w:rsid w:val="00AC0742"/>
    <w:rsid w:val="00AC0BF0"/>
    <w:rsid w:val="00AC2460"/>
    <w:rsid w:val="00AC2AA6"/>
    <w:rsid w:val="00AC33F5"/>
    <w:rsid w:val="00AC4064"/>
    <w:rsid w:val="00AD01F7"/>
    <w:rsid w:val="00AD323F"/>
    <w:rsid w:val="00AD3E3F"/>
    <w:rsid w:val="00AD4335"/>
    <w:rsid w:val="00AD6423"/>
    <w:rsid w:val="00AD73C1"/>
    <w:rsid w:val="00AD7D8B"/>
    <w:rsid w:val="00AE0DB0"/>
    <w:rsid w:val="00AE2058"/>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2544"/>
    <w:rsid w:val="00B23705"/>
    <w:rsid w:val="00B23BF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87230"/>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7E38"/>
    <w:rsid w:val="00BE0740"/>
    <w:rsid w:val="00BE0EF3"/>
    <w:rsid w:val="00BE1BA1"/>
    <w:rsid w:val="00BE309D"/>
    <w:rsid w:val="00BE35C1"/>
    <w:rsid w:val="00BE3C14"/>
    <w:rsid w:val="00BE4789"/>
    <w:rsid w:val="00BE4CD1"/>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11867"/>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20BA"/>
    <w:rsid w:val="00D62530"/>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38D"/>
    <w:rsid w:val="00F06468"/>
    <w:rsid w:val="00F06E5E"/>
    <w:rsid w:val="00F07CA3"/>
    <w:rsid w:val="00F1018C"/>
    <w:rsid w:val="00F109E4"/>
    <w:rsid w:val="00F119B1"/>
    <w:rsid w:val="00F11FF9"/>
    <w:rsid w:val="00F13034"/>
    <w:rsid w:val="00F22B0E"/>
    <w:rsid w:val="00F26458"/>
    <w:rsid w:val="00F26B28"/>
    <w:rsid w:val="00F30A91"/>
    <w:rsid w:val="00F313FB"/>
    <w:rsid w:val="00F32110"/>
    <w:rsid w:val="00F322C2"/>
    <w:rsid w:val="00F33934"/>
    <w:rsid w:val="00F40717"/>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CF2C-AC36-404C-8C54-01C7B7A2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9475</TotalTime>
  <Pages>3</Pages>
  <Words>917</Words>
  <Characters>5232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52</cp:revision>
  <cp:lastPrinted>2020-04-08T05:49:00Z</cp:lastPrinted>
  <dcterms:created xsi:type="dcterms:W3CDTF">2020-04-08T09:11:00Z</dcterms:created>
  <dcterms:modified xsi:type="dcterms:W3CDTF">2021-08-06T09:15:00Z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